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F4B188" w14:textId="7DA9C519" w:rsidR="001F0676" w:rsidRPr="00864866" w:rsidRDefault="001F0676" w:rsidP="000B66BC">
      <w:pPr>
        <w:spacing w:after="240"/>
        <w:jc w:val="center"/>
        <w:rPr>
          <w:rFonts w:ascii="Times New Roman" w:hAnsi="Times New Roman"/>
          <w:sz w:val="24"/>
          <w:szCs w:val="24"/>
        </w:rPr>
      </w:pPr>
    </w:p>
    <w:p w14:paraId="6E4B8B64" w14:textId="77777777" w:rsidR="00BB7DB0" w:rsidRPr="00864866" w:rsidRDefault="00BB7DB0" w:rsidP="000B66BC">
      <w:pPr>
        <w:spacing w:after="240"/>
        <w:jc w:val="center"/>
        <w:rPr>
          <w:rFonts w:ascii="Times New Roman" w:hAnsi="Times New Roman"/>
          <w:sz w:val="24"/>
          <w:szCs w:val="24"/>
        </w:rPr>
      </w:pPr>
    </w:p>
    <w:p w14:paraId="764E2AE3" w14:textId="77777777" w:rsidR="00D0488C" w:rsidRDefault="00D0488C" w:rsidP="00D0488C">
      <w:pPr>
        <w:jc w:val="center"/>
        <w:rPr>
          <w:rFonts w:ascii="Times New Roman" w:hAnsi="Times New Roman"/>
          <w:color w:val="auto"/>
          <w:sz w:val="24"/>
        </w:rPr>
      </w:pPr>
      <w:r>
        <w:rPr>
          <w:rFonts w:ascii="Times New Roman" w:hAnsi="Times New Roman"/>
          <w:sz w:val="24"/>
        </w:rPr>
        <w:t>LV</w:t>
      </w:r>
    </w:p>
    <w:p w14:paraId="2FD0301D" w14:textId="77777777" w:rsidR="00D0488C" w:rsidRDefault="00D0488C" w:rsidP="00D0488C">
      <w:pPr>
        <w:rPr>
          <w:rFonts w:asciiTheme="minorHAnsi" w:hAnsiTheme="minorHAnsi"/>
          <w:sz w:val="22"/>
        </w:rPr>
      </w:pPr>
    </w:p>
    <w:p w14:paraId="632F6520" w14:textId="77777777" w:rsidR="001807E9" w:rsidRPr="00864866" w:rsidRDefault="001807E9" w:rsidP="000B66BC">
      <w:pPr>
        <w:spacing w:after="240"/>
        <w:jc w:val="center"/>
        <w:rPr>
          <w:rFonts w:ascii="Times New Roman" w:hAnsi="Times New Roman"/>
          <w:sz w:val="24"/>
          <w:szCs w:val="24"/>
        </w:rPr>
      </w:pPr>
    </w:p>
    <w:p w14:paraId="2C4768C0" w14:textId="77777777" w:rsidR="00A15D28" w:rsidRPr="000B66BC" w:rsidRDefault="00A15D28" w:rsidP="000B66BC">
      <w:pPr>
        <w:spacing w:after="240"/>
        <w:jc w:val="center"/>
        <w:rPr>
          <w:rFonts w:ascii="Times New Roman" w:hAnsi="Times New Roman"/>
          <w:sz w:val="24"/>
          <w:szCs w:val="24"/>
        </w:rPr>
      </w:pPr>
      <w:r>
        <w:rPr>
          <w:rFonts w:ascii="Times New Roman" w:hAnsi="Times New Roman"/>
          <w:sz w:val="24"/>
        </w:rPr>
        <w:t>XI PIELIKUMS</w:t>
      </w:r>
    </w:p>
    <w:p w14:paraId="4A8A4559" w14:textId="0A064FD8" w:rsidR="00A15D28" w:rsidRPr="000B66BC" w:rsidRDefault="00A84D67" w:rsidP="000B66BC">
      <w:pPr>
        <w:spacing w:after="240"/>
        <w:jc w:val="center"/>
        <w:rPr>
          <w:rFonts w:ascii="Times New Roman" w:hAnsi="Times New Roman"/>
          <w:sz w:val="24"/>
          <w:szCs w:val="24"/>
        </w:rPr>
      </w:pPr>
      <w:r>
        <w:rPr>
          <w:rFonts w:ascii="Times New Roman" w:hAnsi="Times New Roman"/>
          <w:b/>
          <w:sz w:val="24"/>
        </w:rPr>
        <w:t>NORĀDES PĀRSKATU SNIEGŠANAI PAR SVIRAS RĀDĪTĀJU</w:t>
      </w:r>
    </w:p>
    <w:p w14:paraId="359338A1" w14:textId="77777777" w:rsidR="00F4754B" w:rsidRPr="000B66BC" w:rsidRDefault="00F4754B" w:rsidP="000B66BC">
      <w:pPr>
        <w:pStyle w:val="BodyText1"/>
        <w:spacing w:after="240"/>
        <w:rPr>
          <w:rFonts w:ascii="Times New Roman" w:hAnsi="Times New Roman"/>
          <w:sz w:val="24"/>
          <w:szCs w:val="24"/>
        </w:rPr>
      </w:pPr>
    </w:p>
    <w:p w14:paraId="6BF05566" w14:textId="77777777" w:rsidR="00A15D28" w:rsidRPr="000B66BC" w:rsidRDefault="00A15D28" w:rsidP="000B66BC">
      <w:pPr>
        <w:pStyle w:val="BodyText1"/>
        <w:spacing w:after="240"/>
        <w:rPr>
          <w:rFonts w:ascii="Times New Roman" w:hAnsi="Times New Roman"/>
          <w:sz w:val="24"/>
          <w:szCs w:val="24"/>
        </w:rPr>
      </w:pPr>
    </w:p>
    <w:p w14:paraId="7E090CE2" w14:textId="77777777" w:rsidR="00F4754B" w:rsidRPr="000B66BC" w:rsidRDefault="00F4754B" w:rsidP="000B66BC">
      <w:pPr>
        <w:pStyle w:val="BodyText1"/>
        <w:spacing w:after="240"/>
        <w:rPr>
          <w:rFonts w:ascii="Times New Roman" w:hAnsi="Times New Roman"/>
          <w:sz w:val="24"/>
          <w:szCs w:val="24"/>
        </w:rPr>
      </w:pPr>
    </w:p>
    <w:p w14:paraId="3C402A6B" w14:textId="77777777" w:rsidR="009112BB" w:rsidRPr="000B66BC" w:rsidRDefault="009112BB" w:rsidP="000B66BC">
      <w:pPr>
        <w:pStyle w:val="BodyText1"/>
        <w:spacing w:after="240"/>
        <w:ind w:left="720"/>
        <w:rPr>
          <w:rFonts w:ascii="Times New Roman" w:hAnsi="Times New Roman"/>
          <w:sz w:val="24"/>
          <w:szCs w:val="24"/>
        </w:rPr>
      </w:pPr>
    </w:p>
    <w:p w14:paraId="6740D5C0" w14:textId="73123B4E" w:rsidR="008978BA" w:rsidRDefault="00391EF9">
      <w:pPr>
        <w:pStyle w:val="TOC1"/>
        <w:rPr>
          <w:rFonts w:asciiTheme="minorHAnsi" w:eastAsiaTheme="minorEastAsia" w:hAnsiTheme="minorHAnsi" w:cstheme="minorBidi"/>
          <w:color w:val="auto"/>
          <w:kern w:val="2"/>
          <w:sz w:val="24"/>
          <w:szCs w:val="24"/>
          <w:lang w:val="en-IE" w:eastAsia="en-IE"/>
          <w14:ligatures w14:val="standardContextual"/>
        </w:rPr>
      </w:pPr>
      <w:r w:rsidRPr="000B66BC">
        <w:rPr>
          <w:rFonts w:ascii="Times New Roman" w:hAnsi="Times New Roman"/>
          <w:b/>
          <w:sz w:val="24"/>
        </w:rPr>
        <w:fldChar w:fldCharType="begin"/>
      </w:r>
      <w:r w:rsidR="00F4754B" w:rsidRPr="000B66BC">
        <w:rPr>
          <w:rFonts w:ascii="Times New Roman" w:hAnsi="Times New Roman"/>
          <w:b/>
          <w:sz w:val="24"/>
        </w:rPr>
        <w:instrText xml:space="preserve"> TOC \o "1-3" \h \z \u </w:instrText>
      </w:r>
      <w:r w:rsidRPr="000B66BC">
        <w:rPr>
          <w:rFonts w:ascii="Times New Roman" w:hAnsi="Times New Roman"/>
          <w:b/>
          <w:sz w:val="24"/>
        </w:rPr>
        <w:fldChar w:fldCharType="separate"/>
      </w:r>
      <w:hyperlink w:anchor="_Toc188889272" w:history="1">
        <w:r w:rsidR="008978BA" w:rsidRPr="009E4308">
          <w:rPr>
            <w:rStyle w:val="Hyperlink"/>
            <w:rFonts w:ascii="Times New Roman" w:hAnsi="Times New Roman"/>
            <w:b/>
          </w:rPr>
          <w:t>I DAĻA. VISPĀRĪGI NORĀDĪJUMI</w:t>
        </w:r>
        <w:r w:rsidR="008978BA">
          <w:rPr>
            <w:webHidden/>
          </w:rPr>
          <w:tab/>
        </w:r>
        <w:r w:rsidR="008978BA">
          <w:rPr>
            <w:webHidden/>
          </w:rPr>
          <w:fldChar w:fldCharType="begin"/>
        </w:r>
        <w:r w:rsidR="008978BA">
          <w:rPr>
            <w:webHidden/>
          </w:rPr>
          <w:instrText xml:space="preserve"> PAGEREF _Toc188889272 \h </w:instrText>
        </w:r>
        <w:r w:rsidR="008978BA">
          <w:rPr>
            <w:webHidden/>
          </w:rPr>
        </w:r>
        <w:r w:rsidR="008978BA">
          <w:rPr>
            <w:webHidden/>
          </w:rPr>
          <w:fldChar w:fldCharType="separate"/>
        </w:r>
        <w:r w:rsidR="008978BA">
          <w:rPr>
            <w:webHidden/>
          </w:rPr>
          <w:t>2</w:t>
        </w:r>
        <w:r w:rsidR="008978BA">
          <w:rPr>
            <w:webHidden/>
          </w:rPr>
          <w:fldChar w:fldCharType="end"/>
        </w:r>
      </w:hyperlink>
    </w:p>
    <w:p w14:paraId="3D551857" w14:textId="7218E091" w:rsidR="008978BA" w:rsidRDefault="008978BA">
      <w:pPr>
        <w:pStyle w:val="TOC2"/>
        <w:tabs>
          <w:tab w:val="left" w:pos="1361"/>
        </w:tabs>
        <w:rPr>
          <w:rFonts w:asciiTheme="minorHAnsi" w:eastAsiaTheme="minorEastAsia" w:hAnsiTheme="minorHAnsi" w:cstheme="minorBidi"/>
          <w:b w:val="0"/>
          <w:smallCaps w:val="0"/>
          <w:kern w:val="2"/>
          <w:sz w:val="24"/>
          <w:szCs w:val="24"/>
          <w:lang w:val="en-IE" w:eastAsia="en-IE"/>
          <w14:ligatures w14:val="standardContextual"/>
        </w:rPr>
      </w:pPr>
      <w:hyperlink w:anchor="_Toc188889273" w:history="1">
        <w:r w:rsidRPr="009E4308">
          <w:rPr>
            <w:rStyle w:val="Hyperlink"/>
            <w:rFonts w:ascii="Times New Roman" w:hAnsi="Times New Roman"/>
          </w:rPr>
          <w:t>1. punkts.</w:t>
        </w:r>
        <w:r>
          <w:rPr>
            <w:rFonts w:asciiTheme="minorHAnsi" w:eastAsiaTheme="minorEastAsia" w:hAnsiTheme="minorHAnsi" w:cstheme="minorBidi"/>
            <w:b w:val="0"/>
            <w:smallCaps w:val="0"/>
            <w:kern w:val="2"/>
            <w:sz w:val="24"/>
            <w:szCs w:val="24"/>
            <w:lang w:val="en-IE" w:eastAsia="en-IE"/>
            <w14:ligatures w14:val="standardContextual"/>
          </w:rPr>
          <w:tab/>
        </w:r>
        <w:r w:rsidRPr="009E4308">
          <w:rPr>
            <w:rStyle w:val="Hyperlink"/>
            <w:rFonts w:ascii="Times New Roman" w:hAnsi="Times New Roman"/>
          </w:rPr>
          <w:t>Struktūra un konvencijas</w:t>
        </w:r>
        <w:r>
          <w:rPr>
            <w:webHidden/>
          </w:rPr>
          <w:tab/>
        </w:r>
        <w:r>
          <w:rPr>
            <w:webHidden/>
          </w:rPr>
          <w:fldChar w:fldCharType="begin"/>
        </w:r>
        <w:r>
          <w:rPr>
            <w:webHidden/>
          </w:rPr>
          <w:instrText xml:space="preserve"> PAGEREF _Toc188889273 \h </w:instrText>
        </w:r>
        <w:r>
          <w:rPr>
            <w:webHidden/>
          </w:rPr>
        </w:r>
        <w:r>
          <w:rPr>
            <w:webHidden/>
          </w:rPr>
          <w:fldChar w:fldCharType="separate"/>
        </w:r>
        <w:r>
          <w:rPr>
            <w:webHidden/>
          </w:rPr>
          <w:t>2</w:t>
        </w:r>
        <w:r>
          <w:rPr>
            <w:webHidden/>
          </w:rPr>
          <w:fldChar w:fldCharType="end"/>
        </w:r>
      </w:hyperlink>
    </w:p>
    <w:p w14:paraId="0493A989" w14:textId="18511435" w:rsidR="008978BA" w:rsidRDefault="008978BA">
      <w:pPr>
        <w:pStyle w:val="TOC3"/>
        <w:tabs>
          <w:tab w:val="left" w:pos="1361"/>
        </w:tabs>
        <w:rPr>
          <w:rFonts w:asciiTheme="minorHAnsi" w:eastAsiaTheme="minorEastAsia" w:hAnsiTheme="minorHAnsi" w:cstheme="minorBidi"/>
          <w:smallCaps w:val="0"/>
          <w:kern w:val="2"/>
          <w:sz w:val="24"/>
          <w:lang w:val="en-IE" w:eastAsia="en-IE"/>
          <w14:ligatures w14:val="standardContextual"/>
        </w:rPr>
      </w:pPr>
      <w:hyperlink w:anchor="_Toc188889274" w:history="1">
        <w:r w:rsidRPr="009E4308">
          <w:rPr>
            <w:rStyle w:val="Hyperlink"/>
            <w:rFonts w:ascii="Times New Roman" w:hAnsi="Times New Roman"/>
            <w:b/>
          </w:rPr>
          <w:t>1.1. punkts.</w:t>
        </w:r>
        <w:r>
          <w:rPr>
            <w:rFonts w:asciiTheme="minorHAnsi" w:eastAsiaTheme="minorEastAsia" w:hAnsiTheme="minorHAnsi" w:cstheme="minorBidi"/>
            <w:smallCaps w:val="0"/>
            <w:kern w:val="2"/>
            <w:sz w:val="24"/>
            <w:lang w:val="en-IE" w:eastAsia="en-IE"/>
            <w14:ligatures w14:val="standardContextual"/>
          </w:rPr>
          <w:tab/>
        </w:r>
        <w:r w:rsidRPr="009E4308">
          <w:rPr>
            <w:rStyle w:val="Hyperlink"/>
            <w:rFonts w:ascii="Times New Roman" w:hAnsi="Times New Roman"/>
            <w:b/>
          </w:rPr>
          <w:t>Struktūra</w:t>
        </w:r>
        <w:r>
          <w:rPr>
            <w:webHidden/>
          </w:rPr>
          <w:tab/>
        </w:r>
        <w:r>
          <w:rPr>
            <w:webHidden/>
          </w:rPr>
          <w:fldChar w:fldCharType="begin"/>
        </w:r>
        <w:r>
          <w:rPr>
            <w:webHidden/>
          </w:rPr>
          <w:instrText xml:space="preserve"> PAGEREF _Toc188889274 \h </w:instrText>
        </w:r>
        <w:r>
          <w:rPr>
            <w:webHidden/>
          </w:rPr>
        </w:r>
        <w:r>
          <w:rPr>
            <w:webHidden/>
          </w:rPr>
          <w:fldChar w:fldCharType="separate"/>
        </w:r>
        <w:r>
          <w:rPr>
            <w:webHidden/>
          </w:rPr>
          <w:t>2</w:t>
        </w:r>
        <w:r>
          <w:rPr>
            <w:webHidden/>
          </w:rPr>
          <w:fldChar w:fldCharType="end"/>
        </w:r>
      </w:hyperlink>
    </w:p>
    <w:p w14:paraId="2FDB9DC6" w14:textId="7355C8BA" w:rsidR="008978BA" w:rsidRDefault="008978BA">
      <w:pPr>
        <w:pStyle w:val="TOC3"/>
        <w:rPr>
          <w:rFonts w:asciiTheme="minorHAnsi" w:eastAsiaTheme="minorEastAsia" w:hAnsiTheme="minorHAnsi" w:cstheme="minorBidi"/>
          <w:smallCaps w:val="0"/>
          <w:kern w:val="2"/>
          <w:sz w:val="24"/>
          <w:lang w:val="en-IE" w:eastAsia="en-IE"/>
          <w14:ligatures w14:val="standardContextual"/>
        </w:rPr>
      </w:pPr>
      <w:hyperlink w:anchor="_Toc188889275" w:history="1">
        <w:r w:rsidRPr="009E4308">
          <w:rPr>
            <w:rStyle w:val="Hyperlink"/>
            <w:rFonts w:ascii="Times New Roman" w:hAnsi="Times New Roman"/>
            <w:b/>
          </w:rPr>
          <w:t>1.2.</w:t>
        </w:r>
        <w:r>
          <w:rPr>
            <w:rFonts w:asciiTheme="minorHAnsi" w:eastAsiaTheme="minorEastAsia" w:hAnsiTheme="minorHAnsi" w:cstheme="minorBidi"/>
            <w:smallCaps w:val="0"/>
            <w:kern w:val="2"/>
            <w:sz w:val="24"/>
            <w:lang w:val="en-IE" w:eastAsia="en-IE"/>
            <w14:ligatures w14:val="standardContextual"/>
          </w:rPr>
          <w:tab/>
        </w:r>
        <w:r w:rsidRPr="009E4308">
          <w:rPr>
            <w:rStyle w:val="Hyperlink"/>
            <w:rFonts w:ascii="Times New Roman" w:hAnsi="Times New Roman"/>
            <w:b/>
          </w:rPr>
          <w:t>Numerācijas konvencijas</w:t>
        </w:r>
        <w:r>
          <w:rPr>
            <w:webHidden/>
          </w:rPr>
          <w:tab/>
        </w:r>
        <w:r>
          <w:rPr>
            <w:webHidden/>
          </w:rPr>
          <w:fldChar w:fldCharType="begin"/>
        </w:r>
        <w:r>
          <w:rPr>
            <w:webHidden/>
          </w:rPr>
          <w:instrText xml:space="preserve"> PAGEREF _Toc188889275 \h </w:instrText>
        </w:r>
        <w:r>
          <w:rPr>
            <w:webHidden/>
          </w:rPr>
        </w:r>
        <w:r>
          <w:rPr>
            <w:webHidden/>
          </w:rPr>
          <w:fldChar w:fldCharType="separate"/>
        </w:r>
        <w:r>
          <w:rPr>
            <w:webHidden/>
          </w:rPr>
          <w:t>2</w:t>
        </w:r>
        <w:r>
          <w:rPr>
            <w:webHidden/>
          </w:rPr>
          <w:fldChar w:fldCharType="end"/>
        </w:r>
      </w:hyperlink>
    </w:p>
    <w:p w14:paraId="174086D4" w14:textId="45ED322F" w:rsidR="008978BA" w:rsidRDefault="008978BA">
      <w:pPr>
        <w:pStyle w:val="TOC3"/>
        <w:rPr>
          <w:rFonts w:asciiTheme="minorHAnsi" w:eastAsiaTheme="minorEastAsia" w:hAnsiTheme="minorHAnsi" w:cstheme="minorBidi"/>
          <w:smallCaps w:val="0"/>
          <w:kern w:val="2"/>
          <w:sz w:val="24"/>
          <w:lang w:val="en-IE" w:eastAsia="en-IE"/>
          <w14:ligatures w14:val="standardContextual"/>
        </w:rPr>
      </w:pPr>
      <w:hyperlink w:anchor="_Toc188889276" w:history="1">
        <w:r w:rsidRPr="009E4308">
          <w:rPr>
            <w:rStyle w:val="Hyperlink"/>
            <w:rFonts w:ascii="Times New Roman" w:hAnsi="Times New Roman"/>
            <w:b/>
          </w:rPr>
          <w:t>1.3.</w:t>
        </w:r>
        <w:r>
          <w:rPr>
            <w:rFonts w:asciiTheme="minorHAnsi" w:eastAsiaTheme="minorEastAsia" w:hAnsiTheme="minorHAnsi" w:cstheme="minorBidi"/>
            <w:smallCaps w:val="0"/>
            <w:kern w:val="2"/>
            <w:sz w:val="24"/>
            <w:lang w:val="en-IE" w:eastAsia="en-IE"/>
            <w14:ligatures w14:val="standardContextual"/>
          </w:rPr>
          <w:tab/>
        </w:r>
        <w:r w:rsidRPr="009E4308">
          <w:rPr>
            <w:rStyle w:val="Hyperlink"/>
            <w:rFonts w:ascii="Times New Roman" w:hAnsi="Times New Roman"/>
            <w:b/>
          </w:rPr>
          <w:t>Saīsinājumi</w:t>
        </w:r>
        <w:r>
          <w:rPr>
            <w:webHidden/>
          </w:rPr>
          <w:tab/>
        </w:r>
        <w:r>
          <w:rPr>
            <w:webHidden/>
          </w:rPr>
          <w:fldChar w:fldCharType="begin"/>
        </w:r>
        <w:r>
          <w:rPr>
            <w:webHidden/>
          </w:rPr>
          <w:instrText xml:space="preserve"> PAGEREF _Toc188889276 \h </w:instrText>
        </w:r>
        <w:r>
          <w:rPr>
            <w:webHidden/>
          </w:rPr>
        </w:r>
        <w:r>
          <w:rPr>
            <w:webHidden/>
          </w:rPr>
          <w:fldChar w:fldCharType="separate"/>
        </w:r>
        <w:r>
          <w:rPr>
            <w:webHidden/>
          </w:rPr>
          <w:t>2</w:t>
        </w:r>
        <w:r>
          <w:rPr>
            <w:webHidden/>
          </w:rPr>
          <w:fldChar w:fldCharType="end"/>
        </w:r>
      </w:hyperlink>
    </w:p>
    <w:p w14:paraId="21813AF3" w14:textId="6E47C120" w:rsidR="008978BA" w:rsidRDefault="008978BA">
      <w:pPr>
        <w:pStyle w:val="TOC3"/>
        <w:rPr>
          <w:rFonts w:asciiTheme="minorHAnsi" w:eastAsiaTheme="minorEastAsia" w:hAnsiTheme="minorHAnsi" w:cstheme="minorBidi"/>
          <w:smallCaps w:val="0"/>
          <w:kern w:val="2"/>
          <w:sz w:val="24"/>
          <w:lang w:val="en-IE" w:eastAsia="en-IE"/>
          <w14:ligatures w14:val="standardContextual"/>
        </w:rPr>
      </w:pPr>
      <w:hyperlink w:anchor="_Toc188889277" w:history="1">
        <w:r w:rsidRPr="009E4308">
          <w:rPr>
            <w:rStyle w:val="Hyperlink"/>
            <w:rFonts w:ascii="Times New Roman" w:hAnsi="Times New Roman"/>
            <w:b/>
          </w:rPr>
          <w:t>1.4.</w:t>
        </w:r>
        <w:r>
          <w:rPr>
            <w:rFonts w:asciiTheme="minorHAnsi" w:eastAsiaTheme="minorEastAsia" w:hAnsiTheme="minorHAnsi" w:cstheme="minorBidi"/>
            <w:smallCaps w:val="0"/>
            <w:kern w:val="2"/>
            <w:sz w:val="24"/>
            <w:lang w:val="en-IE" w:eastAsia="en-IE"/>
            <w14:ligatures w14:val="standardContextual"/>
          </w:rPr>
          <w:tab/>
        </w:r>
        <w:r w:rsidRPr="009E4308">
          <w:rPr>
            <w:rStyle w:val="Hyperlink"/>
            <w:rFonts w:ascii="Times New Roman" w:hAnsi="Times New Roman"/>
            <w:b/>
          </w:rPr>
          <w:t>Pieņemtā prakse attiecībā uz zīmēm</w:t>
        </w:r>
        <w:r>
          <w:rPr>
            <w:webHidden/>
          </w:rPr>
          <w:tab/>
        </w:r>
        <w:r>
          <w:rPr>
            <w:webHidden/>
          </w:rPr>
          <w:fldChar w:fldCharType="begin"/>
        </w:r>
        <w:r>
          <w:rPr>
            <w:webHidden/>
          </w:rPr>
          <w:instrText xml:space="preserve"> PAGEREF _Toc188889277 \h </w:instrText>
        </w:r>
        <w:r>
          <w:rPr>
            <w:webHidden/>
          </w:rPr>
        </w:r>
        <w:r>
          <w:rPr>
            <w:webHidden/>
          </w:rPr>
          <w:fldChar w:fldCharType="separate"/>
        </w:r>
        <w:r>
          <w:rPr>
            <w:webHidden/>
          </w:rPr>
          <w:t>3</w:t>
        </w:r>
        <w:r>
          <w:rPr>
            <w:webHidden/>
          </w:rPr>
          <w:fldChar w:fldCharType="end"/>
        </w:r>
      </w:hyperlink>
    </w:p>
    <w:p w14:paraId="75BF3E23" w14:textId="0395F8AE" w:rsidR="008978BA" w:rsidRDefault="008978BA">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889278" w:history="1">
        <w:r w:rsidRPr="009E4308">
          <w:rPr>
            <w:rStyle w:val="Hyperlink"/>
            <w:rFonts w:ascii="Times New Roman" w:hAnsi="Times New Roman"/>
            <w:b/>
          </w:rPr>
          <w:t>II DAĻA. NORĀDĪJUMI SAISTĪBĀ AR VEIDNI</w:t>
        </w:r>
        <w:r>
          <w:rPr>
            <w:webHidden/>
          </w:rPr>
          <w:tab/>
        </w:r>
        <w:r>
          <w:rPr>
            <w:webHidden/>
          </w:rPr>
          <w:fldChar w:fldCharType="begin"/>
        </w:r>
        <w:r>
          <w:rPr>
            <w:webHidden/>
          </w:rPr>
          <w:instrText xml:space="preserve"> PAGEREF _Toc188889278 \h </w:instrText>
        </w:r>
        <w:r>
          <w:rPr>
            <w:webHidden/>
          </w:rPr>
        </w:r>
        <w:r>
          <w:rPr>
            <w:webHidden/>
          </w:rPr>
          <w:fldChar w:fldCharType="separate"/>
        </w:r>
        <w:r>
          <w:rPr>
            <w:webHidden/>
          </w:rPr>
          <w:t>4</w:t>
        </w:r>
        <w:r>
          <w:rPr>
            <w:webHidden/>
          </w:rPr>
          <w:fldChar w:fldCharType="end"/>
        </w:r>
      </w:hyperlink>
    </w:p>
    <w:p w14:paraId="44BFB7F4" w14:textId="6B824018" w:rsidR="008978BA" w:rsidRDefault="008978BA">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89279" w:history="1">
        <w:r w:rsidRPr="009E4308">
          <w:rPr>
            <w:rStyle w:val="Hyperlink"/>
            <w:rFonts w:ascii="Times New Roman" w:hAnsi="Times New Roman"/>
          </w:rPr>
          <w:t>1.</w:t>
        </w:r>
        <w:r>
          <w:rPr>
            <w:rFonts w:asciiTheme="minorHAnsi" w:eastAsiaTheme="minorEastAsia" w:hAnsiTheme="minorHAnsi" w:cstheme="minorBidi"/>
            <w:b w:val="0"/>
            <w:smallCaps w:val="0"/>
            <w:kern w:val="2"/>
            <w:sz w:val="24"/>
            <w:szCs w:val="24"/>
            <w:lang w:val="en-IE" w:eastAsia="en-IE"/>
            <w14:ligatures w14:val="standardContextual"/>
          </w:rPr>
          <w:tab/>
        </w:r>
        <w:r w:rsidRPr="009E4308">
          <w:rPr>
            <w:rStyle w:val="Hyperlink"/>
            <w:rFonts w:ascii="Times New Roman" w:hAnsi="Times New Roman"/>
          </w:rPr>
          <w:t>Sviras rādītāja aprēķināšanas formulas</w:t>
        </w:r>
        <w:r>
          <w:rPr>
            <w:webHidden/>
          </w:rPr>
          <w:tab/>
        </w:r>
        <w:r>
          <w:rPr>
            <w:webHidden/>
          </w:rPr>
          <w:fldChar w:fldCharType="begin"/>
        </w:r>
        <w:r>
          <w:rPr>
            <w:webHidden/>
          </w:rPr>
          <w:instrText xml:space="preserve"> PAGEREF _Toc188889279 \h </w:instrText>
        </w:r>
        <w:r>
          <w:rPr>
            <w:webHidden/>
          </w:rPr>
        </w:r>
        <w:r>
          <w:rPr>
            <w:webHidden/>
          </w:rPr>
          <w:fldChar w:fldCharType="separate"/>
        </w:r>
        <w:r>
          <w:rPr>
            <w:webHidden/>
          </w:rPr>
          <w:t>4</w:t>
        </w:r>
        <w:r>
          <w:rPr>
            <w:webHidden/>
          </w:rPr>
          <w:fldChar w:fldCharType="end"/>
        </w:r>
      </w:hyperlink>
    </w:p>
    <w:p w14:paraId="0A00F392" w14:textId="71B78C15" w:rsidR="008978BA" w:rsidRDefault="008978BA">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89280" w:history="1">
        <w:r w:rsidRPr="009E4308">
          <w:rPr>
            <w:rStyle w:val="Hyperlink"/>
            <w:rFonts w:ascii="Times New Roman" w:hAnsi="Times New Roman"/>
          </w:rPr>
          <w:t>2.</w:t>
        </w:r>
        <w:r>
          <w:rPr>
            <w:rFonts w:asciiTheme="minorHAnsi" w:eastAsiaTheme="minorEastAsia" w:hAnsiTheme="minorHAnsi" w:cstheme="minorBidi"/>
            <w:b w:val="0"/>
            <w:smallCaps w:val="0"/>
            <w:kern w:val="2"/>
            <w:sz w:val="24"/>
            <w:szCs w:val="24"/>
            <w:lang w:val="en-IE" w:eastAsia="en-IE"/>
            <w14:ligatures w14:val="standardContextual"/>
          </w:rPr>
          <w:tab/>
        </w:r>
        <w:r w:rsidRPr="009E4308">
          <w:rPr>
            <w:rStyle w:val="Hyperlink"/>
            <w:rFonts w:ascii="Times New Roman" w:hAnsi="Times New Roman"/>
          </w:rPr>
          <w:t>Atvasināto instrumentu būtiskuma sliekšņi</w:t>
        </w:r>
        <w:r>
          <w:rPr>
            <w:webHidden/>
          </w:rPr>
          <w:tab/>
        </w:r>
        <w:r>
          <w:rPr>
            <w:webHidden/>
          </w:rPr>
          <w:fldChar w:fldCharType="begin"/>
        </w:r>
        <w:r>
          <w:rPr>
            <w:webHidden/>
          </w:rPr>
          <w:instrText xml:space="preserve"> PAGEREF _Toc188889280 \h </w:instrText>
        </w:r>
        <w:r>
          <w:rPr>
            <w:webHidden/>
          </w:rPr>
        </w:r>
        <w:r>
          <w:rPr>
            <w:webHidden/>
          </w:rPr>
          <w:fldChar w:fldCharType="separate"/>
        </w:r>
        <w:r>
          <w:rPr>
            <w:webHidden/>
          </w:rPr>
          <w:t>4</w:t>
        </w:r>
        <w:r>
          <w:rPr>
            <w:webHidden/>
          </w:rPr>
          <w:fldChar w:fldCharType="end"/>
        </w:r>
      </w:hyperlink>
    </w:p>
    <w:p w14:paraId="618CD90A" w14:textId="6E11AB37" w:rsidR="008978BA" w:rsidRDefault="008978BA">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89281" w:history="1">
        <w:r w:rsidRPr="009E4308">
          <w:rPr>
            <w:rStyle w:val="Hyperlink"/>
            <w:rFonts w:ascii="Times New Roman" w:hAnsi="Times New Roman"/>
          </w:rPr>
          <w:t>3.</w:t>
        </w:r>
        <w:r>
          <w:rPr>
            <w:rFonts w:asciiTheme="minorHAnsi" w:eastAsiaTheme="minorEastAsia" w:hAnsiTheme="minorHAnsi" w:cstheme="minorBidi"/>
            <w:b w:val="0"/>
            <w:smallCaps w:val="0"/>
            <w:kern w:val="2"/>
            <w:sz w:val="24"/>
            <w:szCs w:val="24"/>
            <w:lang w:val="en-IE" w:eastAsia="en-IE"/>
            <w14:ligatures w14:val="standardContextual"/>
          </w:rPr>
          <w:tab/>
        </w:r>
        <w:r w:rsidRPr="009E4308">
          <w:rPr>
            <w:rStyle w:val="Hyperlink"/>
            <w:rFonts w:ascii="Times New Roman" w:hAnsi="Times New Roman"/>
          </w:rPr>
          <w:t>C 47.00 – Sviras rādītāja aprēķināšana  (LRCalc)</w:t>
        </w:r>
        <w:r>
          <w:rPr>
            <w:webHidden/>
          </w:rPr>
          <w:tab/>
        </w:r>
        <w:r>
          <w:rPr>
            <w:webHidden/>
          </w:rPr>
          <w:fldChar w:fldCharType="begin"/>
        </w:r>
        <w:r>
          <w:rPr>
            <w:webHidden/>
          </w:rPr>
          <w:instrText xml:space="preserve"> PAGEREF _Toc188889281 \h </w:instrText>
        </w:r>
        <w:r>
          <w:rPr>
            <w:webHidden/>
          </w:rPr>
        </w:r>
        <w:r>
          <w:rPr>
            <w:webHidden/>
          </w:rPr>
          <w:fldChar w:fldCharType="separate"/>
        </w:r>
        <w:r>
          <w:rPr>
            <w:webHidden/>
          </w:rPr>
          <w:t>5</w:t>
        </w:r>
        <w:r>
          <w:rPr>
            <w:webHidden/>
          </w:rPr>
          <w:fldChar w:fldCharType="end"/>
        </w:r>
      </w:hyperlink>
    </w:p>
    <w:p w14:paraId="736F4CE4" w14:textId="705D4769" w:rsidR="008978BA" w:rsidRDefault="008978BA">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89282" w:history="1">
        <w:r w:rsidRPr="009E4308">
          <w:rPr>
            <w:rStyle w:val="Hyperlink"/>
            <w:rFonts w:ascii="Times New Roman" w:hAnsi="Times New Roman"/>
          </w:rPr>
          <w:t>4.</w:t>
        </w:r>
        <w:r>
          <w:rPr>
            <w:rFonts w:asciiTheme="minorHAnsi" w:eastAsiaTheme="minorEastAsia" w:hAnsiTheme="minorHAnsi" w:cstheme="minorBidi"/>
            <w:b w:val="0"/>
            <w:smallCaps w:val="0"/>
            <w:kern w:val="2"/>
            <w:sz w:val="24"/>
            <w:szCs w:val="24"/>
            <w:lang w:val="en-IE" w:eastAsia="en-IE"/>
            <w14:ligatures w14:val="standardContextual"/>
          </w:rPr>
          <w:tab/>
        </w:r>
        <w:r w:rsidRPr="009E4308">
          <w:rPr>
            <w:rStyle w:val="Hyperlink"/>
            <w:rFonts w:ascii="Times New Roman" w:hAnsi="Times New Roman"/>
          </w:rPr>
          <w:t>C 40.00 – Riska darījumu vērtības mēram piemērotā alternatīvā procedūra (LR1)</w:t>
        </w:r>
        <w:r>
          <w:rPr>
            <w:webHidden/>
          </w:rPr>
          <w:tab/>
        </w:r>
        <w:r>
          <w:rPr>
            <w:webHidden/>
          </w:rPr>
          <w:fldChar w:fldCharType="begin"/>
        </w:r>
        <w:r>
          <w:rPr>
            <w:webHidden/>
          </w:rPr>
          <w:instrText xml:space="preserve"> PAGEREF _Toc188889282 \h </w:instrText>
        </w:r>
        <w:r>
          <w:rPr>
            <w:webHidden/>
          </w:rPr>
        </w:r>
        <w:r>
          <w:rPr>
            <w:webHidden/>
          </w:rPr>
          <w:fldChar w:fldCharType="separate"/>
        </w:r>
        <w:r>
          <w:rPr>
            <w:webHidden/>
          </w:rPr>
          <w:t>31</w:t>
        </w:r>
        <w:r>
          <w:rPr>
            <w:webHidden/>
          </w:rPr>
          <w:fldChar w:fldCharType="end"/>
        </w:r>
      </w:hyperlink>
    </w:p>
    <w:p w14:paraId="0FE5B520" w14:textId="2C589E7F" w:rsidR="008978BA" w:rsidRDefault="008978BA">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89283" w:history="1">
        <w:r w:rsidRPr="009E4308">
          <w:rPr>
            <w:rStyle w:val="Hyperlink"/>
            <w:rFonts w:ascii="Times New Roman" w:hAnsi="Times New Roman"/>
          </w:rPr>
          <w:t>5.</w:t>
        </w:r>
        <w:r>
          <w:rPr>
            <w:rFonts w:asciiTheme="minorHAnsi" w:eastAsiaTheme="minorEastAsia" w:hAnsiTheme="minorHAnsi" w:cstheme="minorBidi"/>
            <w:b w:val="0"/>
            <w:smallCaps w:val="0"/>
            <w:kern w:val="2"/>
            <w:sz w:val="24"/>
            <w:szCs w:val="24"/>
            <w:lang w:val="en-IE" w:eastAsia="en-IE"/>
            <w14:ligatures w14:val="standardContextual"/>
          </w:rPr>
          <w:tab/>
        </w:r>
        <w:r w:rsidRPr="009E4308">
          <w:rPr>
            <w:rStyle w:val="Hyperlink"/>
            <w:rFonts w:ascii="Times New Roman" w:hAnsi="Times New Roman"/>
          </w:rPr>
          <w:t>C 43.00 – Riska darījumu vērtības mēra komponentu alternatīvais dalījums (LR4)</w:t>
        </w:r>
        <w:r>
          <w:rPr>
            <w:webHidden/>
          </w:rPr>
          <w:tab/>
        </w:r>
        <w:r>
          <w:rPr>
            <w:webHidden/>
          </w:rPr>
          <w:fldChar w:fldCharType="begin"/>
        </w:r>
        <w:r>
          <w:rPr>
            <w:webHidden/>
          </w:rPr>
          <w:instrText xml:space="preserve"> PAGEREF _Toc188889283 \h </w:instrText>
        </w:r>
        <w:r>
          <w:rPr>
            <w:webHidden/>
          </w:rPr>
        </w:r>
        <w:r>
          <w:rPr>
            <w:webHidden/>
          </w:rPr>
          <w:fldChar w:fldCharType="separate"/>
        </w:r>
        <w:r>
          <w:rPr>
            <w:webHidden/>
          </w:rPr>
          <w:t>43</w:t>
        </w:r>
        <w:r>
          <w:rPr>
            <w:webHidden/>
          </w:rPr>
          <w:fldChar w:fldCharType="end"/>
        </w:r>
      </w:hyperlink>
    </w:p>
    <w:p w14:paraId="7A624E7C" w14:textId="7E6FA480" w:rsidR="008978BA" w:rsidRDefault="008978BA">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89284" w:history="1">
        <w:r w:rsidRPr="009E4308">
          <w:rPr>
            <w:rStyle w:val="Hyperlink"/>
            <w:rFonts w:ascii="Times New Roman" w:hAnsi="Times New Roman"/>
          </w:rPr>
          <w:t>6.</w:t>
        </w:r>
        <w:r>
          <w:rPr>
            <w:rFonts w:asciiTheme="minorHAnsi" w:eastAsiaTheme="minorEastAsia" w:hAnsiTheme="minorHAnsi" w:cstheme="minorBidi"/>
            <w:b w:val="0"/>
            <w:smallCaps w:val="0"/>
            <w:kern w:val="2"/>
            <w:sz w:val="24"/>
            <w:szCs w:val="24"/>
            <w:lang w:val="en-IE" w:eastAsia="en-IE"/>
            <w14:ligatures w14:val="standardContextual"/>
          </w:rPr>
          <w:tab/>
        </w:r>
        <w:r w:rsidRPr="009E4308">
          <w:rPr>
            <w:rStyle w:val="Hyperlink"/>
            <w:rFonts w:ascii="Times New Roman" w:hAnsi="Times New Roman"/>
          </w:rPr>
          <w:t>C 44.00 – Vispārīgā informācija (LR5)</w:t>
        </w:r>
        <w:r>
          <w:rPr>
            <w:webHidden/>
          </w:rPr>
          <w:tab/>
        </w:r>
        <w:r>
          <w:rPr>
            <w:webHidden/>
          </w:rPr>
          <w:fldChar w:fldCharType="begin"/>
        </w:r>
        <w:r>
          <w:rPr>
            <w:webHidden/>
          </w:rPr>
          <w:instrText xml:space="preserve"> PAGEREF _Toc188889284 \h </w:instrText>
        </w:r>
        <w:r>
          <w:rPr>
            <w:webHidden/>
          </w:rPr>
        </w:r>
        <w:r>
          <w:rPr>
            <w:webHidden/>
          </w:rPr>
          <w:fldChar w:fldCharType="separate"/>
        </w:r>
        <w:r>
          <w:rPr>
            <w:webHidden/>
          </w:rPr>
          <w:t>68</w:t>
        </w:r>
        <w:r>
          <w:rPr>
            <w:webHidden/>
          </w:rPr>
          <w:fldChar w:fldCharType="end"/>
        </w:r>
      </w:hyperlink>
    </w:p>
    <w:p w14:paraId="2869DE4A" w14:textId="79A1C69D" w:rsidR="008978BA" w:rsidRDefault="008978BA">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89285" w:history="1">
        <w:r w:rsidRPr="009E4308">
          <w:rPr>
            <w:rStyle w:val="Hyperlink"/>
            <w:rFonts w:ascii="Times New Roman" w:hAnsi="Times New Roman"/>
          </w:rPr>
          <w:t>7.</w:t>
        </w:r>
        <w:r>
          <w:rPr>
            <w:rFonts w:asciiTheme="minorHAnsi" w:eastAsiaTheme="minorEastAsia" w:hAnsiTheme="minorHAnsi" w:cstheme="minorBidi"/>
            <w:b w:val="0"/>
            <w:smallCaps w:val="0"/>
            <w:kern w:val="2"/>
            <w:sz w:val="24"/>
            <w:szCs w:val="24"/>
            <w:lang w:val="en-IE" w:eastAsia="en-IE"/>
            <w14:ligatures w14:val="standardContextual"/>
          </w:rPr>
          <w:tab/>
        </w:r>
        <w:r w:rsidRPr="009E4308">
          <w:rPr>
            <w:rStyle w:val="Hyperlink"/>
            <w:rFonts w:ascii="Times New Roman" w:hAnsi="Times New Roman"/>
          </w:rPr>
          <w:t>C 48.00 Sviras rādītāja svārstīgums (LR6)</w:t>
        </w:r>
        <w:r>
          <w:rPr>
            <w:webHidden/>
          </w:rPr>
          <w:tab/>
        </w:r>
        <w:r>
          <w:rPr>
            <w:webHidden/>
          </w:rPr>
          <w:fldChar w:fldCharType="begin"/>
        </w:r>
        <w:r>
          <w:rPr>
            <w:webHidden/>
          </w:rPr>
          <w:instrText xml:space="preserve"> PAGEREF _Toc188889285 \h </w:instrText>
        </w:r>
        <w:r>
          <w:rPr>
            <w:webHidden/>
          </w:rPr>
        </w:r>
        <w:r>
          <w:rPr>
            <w:webHidden/>
          </w:rPr>
          <w:fldChar w:fldCharType="separate"/>
        </w:r>
        <w:r>
          <w:rPr>
            <w:webHidden/>
          </w:rPr>
          <w:t>70</w:t>
        </w:r>
        <w:r>
          <w:rPr>
            <w:webHidden/>
          </w:rPr>
          <w:fldChar w:fldCharType="end"/>
        </w:r>
      </w:hyperlink>
    </w:p>
    <w:p w14:paraId="00817E73" w14:textId="50FA76FC" w:rsidR="008978BA" w:rsidRDefault="008978BA">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89286" w:history="1">
        <w:r w:rsidRPr="009E4308">
          <w:rPr>
            <w:rStyle w:val="Hyperlink"/>
            <w:rFonts w:ascii="Times New Roman" w:hAnsi="Times New Roman"/>
          </w:rPr>
          <w:t>8.</w:t>
        </w:r>
        <w:r>
          <w:rPr>
            <w:rFonts w:asciiTheme="minorHAnsi" w:eastAsiaTheme="minorEastAsia" w:hAnsiTheme="minorHAnsi" w:cstheme="minorBidi"/>
            <w:b w:val="0"/>
            <w:smallCaps w:val="0"/>
            <w:kern w:val="2"/>
            <w:sz w:val="24"/>
            <w:szCs w:val="24"/>
            <w:lang w:val="en-IE" w:eastAsia="en-IE"/>
            <w14:ligatures w14:val="standardContextual"/>
          </w:rPr>
          <w:tab/>
        </w:r>
        <w:r w:rsidRPr="009E4308">
          <w:rPr>
            <w:rStyle w:val="Hyperlink"/>
            <w:rFonts w:ascii="Times New Roman" w:hAnsi="Times New Roman"/>
          </w:rPr>
          <w:t>C 48.01 Sviras rādītāja svārstīgums: vidējā vērtība pārskata periodā</w:t>
        </w:r>
        <w:r>
          <w:rPr>
            <w:webHidden/>
          </w:rPr>
          <w:tab/>
        </w:r>
        <w:r>
          <w:rPr>
            <w:webHidden/>
          </w:rPr>
          <w:fldChar w:fldCharType="begin"/>
        </w:r>
        <w:r>
          <w:rPr>
            <w:webHidden/>
          </w:rPr>
          <w:instrText xml:space="preserve"> PAGEREF _Toc188889286 \h </w:instrText>
        </w:r>
        <w:r>
          <w:rPr>
            <w:webHidden/>
          </w:rPr>
        </w:r>
        <w:r>
          <w:rPr>
            <w:webHidden/>
          </w:rPr>
          <w:fldChar w:fldCharType="separate"/>
        </w:r>
        <w:r>
          <w:rPr>
            <w:webHidden/>
          </w:rPr>
          <w:t>70</w:t>
        </w:r>
        <w:r>
          <w:rPr>
            <w:webHidden/>
          </w:rPr>
          <w:fldChar w:fldCharType="end"/>
        </w:r>
      </w:hyperlink>
    </w:p>
    <w:p w14:paraId="02DCB2C9" w14:textId="3C376D4C" w:rsidR="008978BA" w:rsidRDefault="008978BA">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89287" w:history="1">
        <w:r w:rsidRPr="009E4308">
          <w:rPr>
            <w:rStyle w:val="Hyperlink"/>
            <w:rFonts w:ascii="Times New Roman" w:hAnsi="Times New Roman"/>
          </w:rPr>
          <w:t>9.</w:t>
        </w:r>
        <w:r>
          <w:rPr>
            <w:rFonts w:asciiTheme="minorHAnsi" w:eastAsiaTheme="minorEastAsia" w:hAnsiTheme="minorHAnsi" w:cstheme="minorBidi"/>
            <w:b w:val="0"/>
            <w:smallCaps w:val="0"/>
            <w:kern w:val="2"/>
            <w:sz w:val="24"/>
            <w:szCs w:val="24"/>
            <w:lang w:val="en-IE" w:eastAsia="en-IE"/>
            <w14:ligatures w14:val="standardContextual"/>
          </w:rPr>
          <w:tab/>
        </w:r>
        <w:r w:rsidRPr="009E4308">
          <w:rPr>
            <w:rStyle w:val="Hyperlink"/>
            <w:rFonts w:ascii="Times New Roman" w:hAnsi="Times New Roman"/>
          </w:rPr>
          <w:t>C 48.02 Sviras rādītāja svārstīgums: dienas vērtības pārskata periodā</w:t>
        </w:r>
        <w:r>
          <w:rPr>
            <w:webHidden/>
          </w:rPr>
          <w:tab/>
        </w:r>
        <w:r>
          <w:rPr>
            <w:webHidden/>
          </w:rPr>
          <w:fldChar w:fldCharType="begin"/>
        </w:r>
        <w:r>
          <w:rPr>
            <w:webHidden/>
          </w:rPr>
          <w:instrText xml:space="preserve"> PAGEREF _Toc188889287 \h </w:instrText>
        </w:r>
        <w:r>
          <w:rPr>
            <w:webHidden/>
          </w:rPr>
        </w:r>
        <w:r>
          <w:rPr>
            <w:webHidden/>
          </w:rPr>
          <w:fldChar w:fldCharType="separate"/>
        </w:r>
        <w:r>
          <w:rPr>
            <w:webHidden/>
          </w:rPr>
          <w:t>71</w:t>
        </w:r>
        <w:r>
          <w:rPr>
            <w:webHidden/>
          </w:rPr>
          <w:fldChar w:fldCharType="end"/>
        </w:r>
      </w:hyperlink>
    </w:p>
    <w:p w14:paraId="43D747E1" w14:textId="67C3748D" w:rsidR="00AC3257" w:rsidRPr="000B66BC" w:rsidRDefault="00391EF9" w:rsidP="000B66BC">
      <w:pPr>
        <w:pStyle w:val="BodyText1"/>
        <w:rPr>
          <w:rFonts w:ascii="Times New Roman" w:hAnsi="Times New Roman"/>
          <w:sz w:val="24"/>
        </w:rPr>
        <w:sectPr w:rsidR="00AC3257" w:rsidRPr="000B66BC" w:rsidSect="00DC2C28">
          <w:headerReference w:type="even" r:id="rId13"/>
          <w:headerReference w:type="default" r:id="rId14"/>
          <w:footerReference w:type="default" r:id="rId15"/>
          <w:headerReference w:type="first" r:id="rId16"/>
          <w:footerReference w:type="first" r:id="rId17"/>
          <w:endnotePr>
            <w:numFmt w:val="decimal"/>
          </w:endnotePr>
          <w:pgSz w:w="11906" w:h="16838" w:code="9"/>
          <w:pgMar w:top="1417" w:right="1417" w:bottom="1134" w:left="1417" w:header="720" w:footer="720" w:gutter="0"/>
          <w:cols w:space="720"/>
          <w:titlePg/>
          <w:docGrid w:linePitch="360"/>
        </w:sectPr>
      </w:pPr>
      <w:r w:rsidRPr="000B66BC">
        <w:rPr>
          <w:rFonts w:ascii="Times New Roman" w:hAnsi="Times New Roman"/>
          <w:sz w:val="24"/>
        </w:rPr>
        <w:fldChar w:fldCharType="end"/>
      </w:r>
    </w:p>
    <w:p w14:paraId="34ED68DE" w14:textId="77777777" w:rsidR="00F4754B" w:rsidRPr="000B66BC" w:rsidRDefault="00F4754B" w:rsidP="000B66BC">
      <w:pPr>
        <w:pStyle w:val="BodyText1"/>
        <w:spacing w:after="240"/>
        <w:rPr>
          <w:rFonts w:ascii="Times New Roman" w:hAnsi="Times New Roman"/>
          <w:sz w:val="24"/>
          <w:szCs w:val="24"/>
        </w:rPr>
      </w:pPr>
    </w:p>
    <w:p w14:paraId="12DCD63B" w14:textId="77777777" w:rsidR="00217D1F" w:rsidRPr="00864866" w:rsidRDefault="00F4754B" w:rsidP="000B66BC">
      <w:pPr>
        <w:pStyle w:val="BodyText1"/>
        <w:spacing w:after="240"/>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423089060"/>
      <w:bookmarkStart w:id="5" w:name="_Toc188889272"/>
      <w:r>
        <w:rPr>
          <w:rFonts w:ascii="Times New Roman" w:hAnsi="Times New Roman"/>
          <w:b/>
          <w:sz w:val="24"/>
        </w:rPr>
        <w:t>I DAĻA.</w:t>
      </w:r>
      <w:bookmarkEnd w:id="0"/>
      <w:r>
        <w:rPr>
          <w:rFonts w:ascii="Times New Roman" w:hAnsi="Times New Roman"/>
          <w:b/>
          <w:sz w:val="24"/>
        </w:rPr>
        <w:t xml:space="preserve"> VISPĀRĪGI NORĀDĪJUMI</w:t>
      </w:r>
      <w:bookmarkEnd w:id="1"/>
      <w:bookmarkEnd w:id="2"/>
      <w:bookmarkEnd w:id="3"/>
      <w:bookmarkEnd w:id="4"/>
      <w:bookmarkEnd w:id="5"/>
    </w:p>
    <w:p w14:paraId="2A030BBF" w14:textId="593C59C8" w:rsidR="00217D1F" w:rsidRPr="000B66BC" w:rsidRDefault="00500508" w:rsidP="000B66BC">
      <w:pPr>
        <w:pStyle w:val="BodyText1"/>
        <w:spacing w:after="240"/>
        <w:ind w:left="357" w:hanging="357"/>
        <w:outlineLvl w:val="1"/>
        <w:rPr>
          <w:rFonts w:ascii="Times New Roman" w:hAnsi="Times New Roman"/>
          <w:b/>
          <w:sz w:val="24"/>
          <w:szCs w:val="24"/>
        </w:rPr>
      </w:pPr>
      <w:bookmarkStart w:id="6" w:name="_Toc351048500"/>
      <w:bookmarkStart w:id="7" w:name="_Toc322687865"/>
      <w:bookmarkStart w:id="8" w:name="_Toc359414274"/>
      <w:bookmarkStart w:id="9" w:name="_Toc423089061"/>
      <w:bookmarkStart w:id="10" w:name="_Toc188889273"/>
      <w:r>
        <w:rPr>
          <w:rFonts w:ascii="Times New Roman" w:hAnsi="Times New Roman"/>
          <w:b/>
          <w:sz w:val="24"/>
        </w:rPr>
        <w:t>1. punkts.</w:t>
      </w:r>
      <w:r>
        <w:rPr>
          <w:rFonts w:ascii="Times New Roman" w:hAnsi="Times New Roman"/>
          <w:b/>
          <w:sz w:val="24"/>
        </w:rPr>
        <w:tab/>
        <w:t>Struktūra un konvencijas</w:t>
      </w:r>
      <w:bookmarkEnd w:id="6"/>
      <w:bookmarkEnd w:id="7"/>
      <w:bookmarkEnd w:id="8"/>
      <w:bookmarkEnd w:id="9"/>
      <w:bookmarkEnd w:id="10"/>
    </w:p>
    <w:p w14:paraId="0F3236AE" w14:textId="6FB096EE" w:rsidR="00217D1F" w:rsidRPr="000B66BC" w:rsidRDefault="00500508" w:rsidP="000B66BC">
      <w:pPr>
        <w:pStyle w:val="BodyText1"/>
        <w:spacing w:after="240"/>
        <w:ind w:left="357" w:hanging="357"/>
        <w:outlineLvl w:val="2"/>
        <w:rPr>
          <w:rFonts w:ascii="Times New Roman" w:hAnsi="Times New Roman"/>
          <w:b/>
          <w:sz w:val="24"/>
          <w:szCs w:val="24"/>
        </w:rPr>
      </w:pPr>
      <w:bookmarkStart w:id="11" w:name="_Toc322687866"/>
      <w:bookmarkStart w:id="12" w:name="_Toc359414275"/>
      <w:bookmarkStart w:id="13" w:name="_Toc423089062"/>
      <w:bookmarkStart w:id="14" w:name="_Toc264038399"/>
      <w:bookmarkStart w:id="15" w:name="_Toc294018834"/>
      <w:bookmarkStart w:id="16" w:name="_Toc188889274"/>
      <w:r>
        <w:rPr>
          <w:rFonts w:ascii="Times New Roman" w:hAnsi="Times New Roman"/>
          <w:b/>
          <w:sz w:val="24"/>
        </w:rPr>
        <w:t>1.1. punkts.</w:t>
      </w:r>
      <w:r>
        <w:rPr>
          <w:rFonts w:ascii="Times New Roman" w:hAnsi="Times New Roman"/>
          <w:b/>
          <w:sz w:val="24"/>
        </w:rPr>
        <w:tab/>
      </w:r>
      <w:bookmarkEnd w:id="11"/>
      <w:bookmarkEnd w:id="12"/>
      <w:bookmarkEnd w:id="13"/>
      <w:r>
        <w:rPr>
          <w:rFonts w:ascii="Times New Roman" w:hAnsi="Times New Roman"/>
          <w:b/>
          <w:sz w:val="24"/>
        </w:rPr>
        <w:t>Struktūra</w:t>
      </w:r>
      <w:bookmarkEnd w:id="16"/>
    </w:p>
    <w:p w14:paraId="050538F0" w14:textId="50037B39" w:rsidR="00E22856" w:rsidRPr="000B66BC" w:rsidRDefault="00500508" w:rsidP="000B66BC">
      <w:pPr>
        <w:pStyle w:val="BodyText1"/>
        <w:spacing w:after="240"/>
        <w:ind w:left="720" w:hanging="360"/>
        <w:rPr>
          <w:rFonts w:ascii="Times New Roman" w:hAnsi="Times New Roman"/>
          <w:sz w:val="24"/>
          <w:szCs w:val="24"/>
        </w:rPr>
      </w:pPr>
      <w:r>
        <w:rPr>
          <w:rFonts w:ascii="Times New Roman" w:hAnsi="Times New Roman"/>
          <w:sz w:val="24"/>
        </w:rPr>
        <w:t>1.</w:t>
      </w:r>
      <w:r>
        <w:rPr>
          <w:rFonts w:ascii="Times New Roman" w:hAnsi="Times New Roman"/>
          <w:sz w:val="24"/>
        </w:rPr>
        <w:tab/>
        <w:t xml:space="preserve">Šajā pielikumā ir iekļauti papildu norādījumi par veidnēm (turpmāk “LR”), kas iekļautas šīs regulas X pielikumā. </w:t>
      </w:r>
    </w:p>
    <w:p w14:paraId="4B2766E9" w14:textId="78B19E69" w:rsidR="00F4754B" w:rsidRPr="000B66BC" w:rsidRDefault="00500508" w:rsidP="009339D1">
      <w:pPr>
        <w:pStyle w:val="InstructionsText2"/>
        <w:numPr>
          <w:ilvl w:val="0"/>
          <w:numId w:val="0"/>
        </w:numPr>
        <w:ind w:left="720" w:hanging="360"/>
        <w:rPr>
          <w:rFonts w:eastAsia="Times New Roman"/>
          <w:bCs/>
          <w:sz w:val="24"/>
        </w:rPr>
      </w:pPr>
      <w:r>
        <w:rPr>
          <w:sz w:val="24"/>
        </w:rPr>
        <w:t>2.</w:t>
      </w:r>
      <w:r>
        <w:rPr>
          <w:sz w:val="24"/>
        </w:rPr>
        <w:tab/>
        <w:t>Šiem pārskatiem kopumā ir piecas veidnes:</w:t>
      </w:r>
    </w:p>
    <w:p w14:paraId="41A3C48C" w14:textId="77777777" w:rsidR="00675587" w:rsidRPr="000B66BC" w:rsidRDefault="00500508" w:rsidP="009339D1">
      <w:pPr>
        <w:pStyle w:val="InstructionsText2"/>
        <w:numPr>
          <w:ilvl w:val="0"/>
          <w:numId w:val="0"/>
        </w:numPr>
        <w:ind w:left="1080" w:hanging="360"/>
        <w:rPr>
          <w:rFonts w:eastAsia="Times New Roman"/>
          <w:bCs/>
          <w:sz w:val="24"/>
        </w:rPr>
      </w:pPr>
      <w:r>
        <w:rPr>
          <w:rFonts w:ascii="Symbol" w:hAnsi="Symbol"/>
          <w:sz w:val="24"/>
        </w:rPr>
        <w:t></w:t>
      </w:r>
      <w:r>
        <w:rPr>
          <w:rFonts w:ascii="Symbol" w:hAnsi="Symbol"/>
          <w:sz w:val="24"/>
        </w:rPr>
        <w:tab/>
      </w:r>
      <w:r>
        <w:rPr>
          <w:sz w:val="24"/>
        </w:rPr>
        <w:t>C47.00: Sviras rādītāja aprēķināšana (</w:t>
      </w:r>
      <w:proofErr w:type="spellStart"/>
      <w:r>
        <w:rPr>
          <w:sz w:val="24"/>
        </w:rPr>
        <w:t>LRCalc</w:t>
      </w:r>
      <w:proofErr w:type="spellEnd"/>
      <w:r>
        <w:rPr>
          <w:sz w:val="24"/>
        </w:rPr>
        <w:t>): Sviras rādītāja aprēķināšana;</w:t>
      </w:r>
    </w:p>
    <w:p w14:paraId="42B808C6" w14:textId="77777777" w:rsidR="00675587" w:rsidRPr="000B66BC" w:rsidRDefault="00500508" w:rsidP="009339D1">
      <w:pPr>
        <w:pStyle w:val="InstructionsText2"/>
        <w:numPr>
          <w:ilvl w:val="0"/>
          <w:numId w:val="0"/>
        </w:numPr>
        <w:ind w:left="1080" w:hanging="360"/>
        <w:rPr>
          <w:rFonts w:eastAsia="Times New Roman"/>
          <w:bCs/>
          <w:sz w:val="24"/>
        </w:rPr>
      </w:pPr>
      <w:r>
        <w:rPr>
          <w:rFonts w:ascii="Symbol" w:hAnsi="Symbol"/>
          <w:sz w:val="24"/>
        </w:rPr>
        <w:t></w:t>
      </w:r>
      <w:r>
        <w:rPr>
          <w:rFonts w:ascii="Symbol" w:hAnsi="Symbol"/>
          <w:sz w:val="24"/>
        </w:rPr>
        <w:tab/>
      </w:r>
      <w:r>
        <w:rPr>
          <w:sz w:val="24"/>
        </w:rPr>
        <w:t>C40.00: Sviras rādītāja 1. veidne (LR1): Riska darījuma vērtības mēram piemērotā alternatīvā procedūra;</w:t>
      </w:r>
    </w:p>
    <w:p w14:paraId="29356C92" w14:textId="650F5016" w:rsidR="00675587" w:rsidRPr="000B66BC" w:rsidRDefault="00500508" w:rsidP="009339D1">
      <w:pPr>
        <w:pStyle w:val="InstructionsText2"/>
        <w:numPr>
          <w:ilvl w:val="0"/>
          <w:numId w:val="0"/>
        </w:numPr>
        <w:ind w:left="1080" w:hanging="360"/>
        <w:rPr>
          <w:rFonts w:eastAsia="Times New Roman"/>
          <w:bCs/>
          <w:sz w:val="24"/>
        </w:rPr>
      </w:pPr>
      <w:r>
        <w:rPr>
          <w:rFonts w:ascii="Symbol" w:hAnsi="Symbol"/>
          <w:sz w:val="24"/>
        </w:rPr>
        <w:t></w:t>
      </w:r>
      <w:r>
        <w:rPr>
          <w:rFonts w:ascii="Symbol" w:hAnsi="Symbol"/>
          <w:sz w:val="24"/>
        </w:rPr>
        <w:tab/>
      </w:r>
      <w:r>
        <w:rPr>
          <w:sz w:val="24"/>
        </w:rPr>
        <w:t>C43.00: Sviras rādītāja 4. veidne (LR4): Riska darījumu vērtības mēra komponentu alternatīvais dalījums;</w:t>
      </w:r>
    </w:p>
    <w:p w14:paraId="0192F250" w14:textId="1780456B" w:rsidR="00675587" w:rsidRPr="000B66BC" w:rsidRDefault="00500508" w:rsidP="009339D1">
      <w:pPr>
        <w:pStyle w:val="InstructionsText2"/>
        <w:numPr>
          <w:ilvl w:val="0"/>
          <w:numId w:val="0"/>
        </w:numPr>
        <w:ind w:left="1080" w:hanging="360"/>
        <w:rPr>
          <w:rFonts w:eastAsia="Times New Roman"/>
          <w:bCs/>
          <w:sz w:val="24"/>
        </w:rPr>
      </w:pPr>
      <w:r>
        <w:rPr>
          <w:rFonts w:ascii="Symbol" w:hAnsi="Symbol"/>
          <w:sz w:val="24"/>
        </w:rPr>
        <w:t></w:t>
      </w:r>
      <w:r>
        <w:rPr>
          <w:rFonts w:ascii="Symbol" w:hAnsi="Symbol"/>
          <w:sz w:val="24"/>
        </w:rPr>
        <w:tab/>
      </w:r>
      <w:r>
        <w:rPr>
          <w:sz w:val="24"/>
        </w:rPr>
        <w:t>C44.00: Sviras rādītāja 5. veidne (LR5): Vispārīga informācija;</w:t>
      </w:r>
    </w:p>
    <w:p w14:paraId="7D668F4C" w14:textId="2EF3E327" w:rsidR="00BE473C" w:rsidRPr="000B66BC" w:rsidRDefault="00BE473C" w:rsidP="009339D1">
      <w:pPr>
        <w:pStyle w:val="InstructionsText2"/>
        <w:numPr>
          <w:ilvl w:val="0"/>
          <w:numId w:val="35"/>
        </w:numPr>
        <w:rPr>
          <w:rFonts w:eastAsia="Times New Roman"/>
          <w:bCs/>
          <w:sz w:val="24"/>
        </w:rPr>
      </w:pPr>
      <w:r>
        <w:rPr>
          <w:sz w:val="24"/>
        </w:rPr>
        <w:t>C48.00: Sviras rādītāja svārstīgums (LR6).</w:t>
      </w:r>
    </w:p>
    <w:p w14:paraId="6D2FC52A" w14:textId="5D5E1B5E" w:rsidR="00FC2664" w:rsidRPr="000B66BC" w:rsidRDefault="00500508" w:rsidP="000B66BC">
      <w:pPr>
        <w:pStyle w:val="InstructionsText2"/>
        <w:numPr>
          <w:ilvl w:val="0"/>
          <w:numId w:val="0"/>
        </w:numPr>
        <w:ind w:left="720" w:hanging="360"/>
        <w:rPr>
          <w:sz w:val="24"/>
        </w:rPr>
      </w:pPr>
      <w:r>
        <w:rPr>
          <w:sz w:val="24"/>
        </w:rPr>
        <w:t>3.</w:t>
      </w:r>
      <w:r>
        <w:rPr>
          <w:sz w:val="24"/>
        </w:rPr>
        <w:tab/>
        <w:t>Katrai veidnei ir sniegtas atsauces uz tiesību aktiem, kā arī sīkāka informācija par pārskatu sniegšanas vispārīgākiem aspektiem.</w:t>
      </w:r>
    </w:p>
    <w:p w14:paraId="5CABBDF6" w14:textId="77777777" w:rsidR="00217D1F" w:rsidRPr="000B66BC" w:rsidRDefault="00500508" w:rsidP="000B66BC">
      <w:pPr>
        <w:pStyle w:val="BodyText1"/>
        <w:spacing w:after="240"/>
        <w:ind w:left="357" w:hanging="357"/>
        <w:outlineLvl w:val="2"/>
        <w:rPr>
          <w:rFonts w:ascii="Times New Roman" w:hAnsi="Times New Roman"/>
          <w:b/>
          <w:sz w:val="24"/>
          <w:szCs w:val="24"/>
        </w:rPr>
      </w:pPr>
      <w:bookmarkStart w:id="17" w:name="_Toc359414277"/>
      <w:bookmarkStart w:id="18" w:name="_Toc322687867"/>
      <w:bookmarkStart w:id="19" w:name="_Toc351048502"/>
      <w:bookmarkStart w:id="20" w:name="_Toc359414278"/>
      <w:bookmarkStart w:id="21" w:name="_Toc423089063"/>
      <w:bookmarkStart w:id="22" w:name="_Toc188889275"/>
      <w:bookmarkEnd w:id="17"/>
      <w:r>
        <w:rPr>
          <w:rFonts w:ascii="Times New Roman" w:hAnsi="Times New Roman"/>
          <w:b/>
          <w:sz w:val="24"/>
        </w:rPr>
        <w:t>1.2.</w:t>
      </w:r>
      <w:r>
        <w:rPr>
          <w:rFonts w:ascii="Times New Roman" w:hAnsi="Times New Roman"/>
          <w:b/>
          <w:sz w:val="24"/>
        </w:rPr>
        <w:tab/>
        <w:t>Numerācijas konvencijas</w:t>
      </w:r>
      <w:bookmarkEnd w:id="18"/>
      <w:bookmarkEnd w:id="19"/>
      <w:bookmarkEnd w:id="20"/>
      <w:bookmarkEnd w:id="21"/>
      <w:bookmarkEnd w:id="22"/>
    </w:p>
    <w:p w14:paraId="729F6A05" w14:textId="77777777" w:rsidR="00F4754B" w:rsidRPr="000B66BC" w:rsidRDefault="00500508" w:rsidP="009339D1">
      <w:pPr>
        <w:pStyle w:val="InstructionsText2"/>
        <w:numPr>
          <w:ilvl w:val="0"/>
          <w:numId w:val="0"/>
        </w:numPr>
        <w:ind w:left="720" w:hanging="360"/>
        <w:rPr>
          <w:rFonts w:eastAsia="Times New Roman"/>
          <w:bCs/>
          <w:sz w:val="24"/>
        </w:rPr>
      </w:pPr>
      <w:r>
        <w:rPr>
          <w:sz w:val="24"/>
        </w:rPr>
        <w:t>4.</w:t>
      </w:r>
      <w:r>
        <w:rPr>
          <w:sz w:val="24"/>
        </w:rPr>
        <w:tab/>
        <w:t>Atsaucoties uz veidņu slejām, rindām un šūnām, dokumentā ievēro apzīmējumu konvenciju, kas izklāstīta turpmākajos punktos. Šos ciparu kodus plaši izmanto validācijas noteikumos.</w:t>
      </w:r>
    </w:p>
    <w:p w14:paraId="68B33760" w14:textId="77777777" w:rsidR="00F4754B" w:rsidRPr="000B66BC" w:rsidRDefault="00500508" w:rsidP="009339D1">
      <w:pPr>
        <w:pStyle w:val="InstructionsText2"/>
        <w:numPr>
          <w:ilvl w:val="0"/>
          <w:numId w:val="0"/>
        </w:numPr>
        <w:ind w:left="720" w:hanging="360"/>
        <w:rPr>
          <w:rFonts w:eastAsia="Times New Roman"/>
          <w:bCs/>
          <w:sz w:val="24"/>
        </w:rPr>
      </w:pPr>
      <w:r>
        <w:rPr>
          <w:sz w:val="24"/>
        </w:rPr>
        <w:t>5.</w:t>
      </w:r>
      <w:r>
        <w:rPr>
          <w:sz w:val="24"/>
        </w:rPr>
        <w:tab/>
        <w:t>Norādījumos izmantots šāds vispārējs apzīmējums: {</w:t>
      </w:r>
      <w:proofErr w:type="spellStart"/>
      <w:r>
        <w:rPr>
          <w:sz w:val="24"/>
        </w:rPr>
        <w:t>Veidne;Rinda;Sleja</w:t>
      </w:r>
      <w:proofErr w:type="spellEnd"/>
      <w:r>
        <w:rPr>
          <w:sz w:val="24"/>
        </w:rPr>
        <w:t>}. Zvaigznīti izmanto, lai norādītu uz visu rindu vai sleju.</w:t>
      </w:r>
    </w:p>
    <w:p w14:paraId="3E605DEE" w14:textId="77777777" w:rsidR="00F4754B" w:rsidRPr="000B66BC" w:rsidRDefault="00500508" w:rsidP="009339D1">
      <w:pPr>
        <w:pStyle w:val="InstructionsText2"/>
        <w:numPr>
          <w:ilvl w:val="0"/>
          <w:numId w:val="0"/>
        </w:numPr>
        <w:ind w:left="720" w:hanging="360"/>
        <w:rPr>
          <w:rFonts w:eastAsia="Times New Roman"/>
          <w:bCs/>
          <w:sz w:val="24"/>
        </w:rPr>
      </w:pPr>
      <w:r>
        <w:rPr>
          <w:sz w:val="24"/>
        </w:rPr>
        <w:t>6.</w:t>
      </w:r>
      <w:r>
        <w:rPr>
          <w:sz w:val="24"/>
        </w:rPr>
        <w:tab/>
        <w:t>Ja validācija tiek veikta veidnē, izmanto tikai minētās veidnes datu punktus, apzīmējums neattiecas uz veidni: {Rinda; Sleja};</w:t>
      </w:r>
    </w:p>
    <w:p w14:paraId="12003733" w14:textId="77777777" w:rsidR="00F4754B" w:rsidRPr="000B66BC" w:rsidRDefault="00500508" w:rsidP="009339D1">
      <w:pPr>
        <w:pStyle w:val="InstructionsText2"/>
        <w:numPr>
          <w:ilvl w:val="0"/>
          <w:numId w:val="0"/>
        </w:numPr>
        <w:ind w:left="720" w:hanging="360"/>
        <w:rPr>
          <w:rFonts w:eastAsia="Times New Roman"/>
          <w:bCs/>
          <w:sz w:val="24"/>
        </w:rPr>
      </w:pPr>
      <w:r>
        <w:rPr>
          <w:sz w:val="24"/>
        </w:rPr>
        <w:t>7.</w:t>
      </w:r>
      <w:r>
        <w:rPr>
          <w:sz w:val="24"/>
        </w:rPr>
        <w:tab/>
        <w:t xml:space="preserve">Sviras pārskatu sniegšanas vajadzībām vārdu savienojums “no kā” attiecas uz posteni, kas ir augstāka līmeņa riska darījuma kategorijas apakškopa, savukārt jēdziens “izziņas postenis” attiecas uz atsevišķu posteni, kas nav riska darījuma kategorijas apakškopa. Ja vien nav norādīts citādi, obligāti jāsniedz pārskats par abiem šūnu veidiem. </w:t>
      </w:r>
    </w:p>
    <w:p w14:paraId="2D525ACC" w14:textId="77777777" w:rsidR="001D6F2F" w:rsidRPr="000B66BC" w:rsidRDefault="00500508" w:rsidP="000B66BC">
      <w:pPr>
        <w:pStyle w:val="BodyText1"/>
        <w:spacing w:after="240"/>
        <w:ind w:left="357" w:hanging="357"/>
        <w:outlineLvl w:val="2"/>
        <w:rPr>
          <w:rFonts w:ascii="Times New Roman" w:hAnsi="Times New Roman"/>
          <w:b/>
          <w:sz w:val="24"/>
          <w:szCs w:val="24"/>
        </w:rPr>
      </w:pPr>
      <w:bookmarkStart w:id="23" w:name="_Toc423089064"/>
      <w:bookmarkStart w:id="24" w:name="_Toc188889276"/>
      <w:r>
        <w:rPr>
          <w:rFonts w:ascii="Times New Roman" w:hAnsi="Times New Roman"/>
          <w:b/>
          <w:sz w:val="24"/>
        </w:rPr>
        <w:t>1.3.</w:t>
      </w:r>
      <w:r>
        <w:rPr>
          <w:rFonts w:ascii="Times New Roman" w:hAnsi="Times New Roman"/>
          <w:b/>
          <w:sz w:val="24"/>
        </w:rPr>
        <w:tab/>
        <w:t>Saīsinājumi</w:t>
      </w:r>
      <w:bookmarkEnd w:id="23"/>
      <w:bookmarkEnd w:id="24"/>
    </w:p>
    <w:p w14:paraId="72197A49" w14:textId="4CE8CABE" w:rsidR="00627E07" w:rsidRPr="000B66BC" w:rsidRDefault="00500508" w:rsidP="009339D1">
      <w:pPr>
        <w:pStyle w:val="InstructionsText2"/>
        <w:numPr>
          <w:ilvl w:val="0"/>
          <w:numId w:val="0"/>
        </w:numPr>
        <w:ind w:left="720" w:hanging="360"/>
        <w:rPr>
          <w:rFonts w:eastAsia="Times New Roman"/>
          <w:bCs/>
          <w:sz w:val="24"/>
        </w:rPr>
      </w:pPr>
      <w:bookmarkStart w:id="25" w:name="_Toc359414279"/>
      <w:bookmarkStart w:id="26" w:name="_Toc322687868"/>
      <w:bookmarkStart w:id="27" w:name="_Toc351048503"/>
      <w:bookmarkStart w:id="28" w:name="_Toc359414280"/>
      <w:bookmarkEnd w:id="25"/>
      <w:r>
        <w:rPr>
          <w:sz w:val="24"/>
        </w:rPr>
        <w:t>8.</w:t>
      </w:r>
      <w:r>
        <w:rPr>
          <w:sz w:val="24"/>
        </w:rPr>
        <w:tab/>
        <w:t>Šā pielikuma un ar to saistīto veidņu vajadzībām izmanto šādus saīsinājumus:</w:t>
      </w:r>
    </w:p>
    <w:p w14:paraId="567537B5" w14:textId="38559007" w:rsidR="00627E07" w:rsidRPr="000B66BC" w:rsidRDefault="00627E07" w:rsidP="009339D1">
      <w:pPr>
        <w:pStyle w:val="InstructionsText2"/>
        <w:numPr>
          <w:ilvl w:val="0"/>
          <w:numId w:val="0"/>
        </w:numPr>
        <w:ind w:left="1440" w:hanging="360"/>
        <w:rPr>
          <w:rFonts w:eastAsia="Times New Roman"/>
          <w:bCs/>
          <w:sz w:val="24"/>
          <w:lang w:eastAsia="de-DE"/>
        </w:rPr>
      </w:pPr>
    </w:p>
    <w:p w14:paraId="69E6F7E3" w14:textId="639EDFA1" w:rsidR="007E2989" w:rsidRPr="000B66BC" w:rsidRDefault="007E2989" w:rsidP="009339D1">
      <w:pPr>
        <w:pStyle w:val="InstructionsText2"/>
        <w:numPr>
          <w:ilvl w:val="0"/>
          <w:numId w:val="0"/>
        </w:numPr>
        <w:ind w:left="1440" w:hanging="360"/>
        <w:rPr>
          <w:rFonts w:eastAsia="Times New Roman"/>
          <w:bCs/>
          <w:sz w:val="24"/>
          <w:lang w:eastAsia="de-DE"/>
        </w:rPr>
      </w:pPr>
    </w:p>
    <w:p w14:paraId="5CC0B733" w14:textId="5D25F616" w:rsidR="00627E07" w:rsidRPr="000B66BC" w:rsidRDefault="007E2989" w:rsidP="009339D1">
      <w:pPr>
        <w:pStyle w:val="InstructionsText2"/>
        <w:numPr>
          <w:ilvl w:val="0"/>
          <w:numId w:val="0"/>
        </w:numPr>
        <w:ind w:left="1440" w:hanging="360"/>
        <w:rPr>
          <w:rFonts w:eastAsia="Times New Roman"/>
          <w:bCs/>
          <w:sz w:val="24"/>
        </w:rPr>
      </w:pPr>
      <w:r>
        <w:rPr>
          <w:sz w:val="24"/>
        </w:rPr>
        <w:t>c)</w:t>
      </w:r>
      <w:r>
        <w:rPr>
          <w:sz w:val="24"/>
        </w:rPr>
        <w:tab/>
        <w:t>VFD – vērtspapīru finansēšanas darījums, proti, “</w:t>
      </w:r>
      <w:proofErr w:type="spellStart"/>
      <w:r>
        <w:rPr>
          <w:sz w:val="24"/>
        </w:rPr>
        <w:t>repo</w:t>
      </w:r>
      <w:proofErr w:type="spellEnd"/>
      <w:r>
        <w:rPr>
          <w:sz w:val="24"/>
        </w:rPr>
        <w:t xml:space="preserve"> darījums, vērtspapīru vai preču aizdevuma vai aizņēmuma darījums vai </w:t>
      </w:r>
      <w:proofErr w:type="spellStart"/>
      <w:r>
        <w:rPr>
          <w:sz w:val="24"/>
        </w:rPr>
        <w:t>maržinālo</w:t>
      </w:r>
      <w:proofErr w:type="spellEnd"/>
      <w:r>
        <w:rPr>
          <w:sz w:val="24"/>
        </w:rPr>
        <w:t xml:space="preserve"> aizdevumu darījums”, kā definēts Regulas (ES) Nr. 575/2013 4. panta 1. punkta 139) apakšpunktā;</w:t>
      </w:r>
    </w:p>
    <w:p w14:paraId="68410368" w14:textId="7E4CDAEF" w:rsidR="008E7068" w:rsidRPr="000B66BC" w:rsidRDefault="007E2989" w:rsidP="009339D1">
      <w:pPr>
        <w:pStyle w:val="InstructionsText2"/>
        <w:numPr>
          <w:ilvl w:val="0"/>
          <w:numId w:val="0"/>
        </w:numPr>
        <w:ind w:left="1440" w:hanging="360"/>
        <w:rPr>
          <w:rFonts w:eastAsia="Times New Roman"/>
          <w:bCs/>
          <w:sz w:val="24"/>
        </w:rPr>
      </w:pPr>
      <w:r>
        <w:rPr>
          <w:sz w:val="24"/>
        </w:rPr>
        <w:t>d)</w:t>
      </w:r>
      <w:r>
        <w:rPr>
          <w:sz w:val="24"/>
        </w:rPr>
        <w:tab/>
        <w:t>KRM — kredītriska mazināšana.</w:t>
      </w:r>
    </w:p>
    <w:p w14:paraId="212C8B7E" w14:textId="6577F157" w:rsidR="007E2989" w:rsidRPr="000B66BC" w:rsidRDefault="007E2989" w:rsidP="009339D1">
      <w:pPr>
        <w:pStyle w:val="InstructionsText2"/>
        <w:numPr>
          <w:ilvl w:val="0"/>
          <w:numId w:val="0"/>
        </w:numPr>
        <w:ind w:left="1440" w:hanging="360"/>
        <w:rPr>
          <w:rFonts w:eastAsia="Times New Roman"/>
          <w:bCs/>
          <w:sz w:val="24"/>
        </w:rPr>
      </w:pPr>
      <w:r>
        <w:rPr>
          <w:sz w:val="24"/>
        </w:rPr>
        <w:t>e)</w:t>
      </w:r>
      <w:r>
        <w:rPr>
          <w:sz w:val="24"/>
        </w:rPr>
        <w:tab/>
        <w:t>CVD – centrālais vērtspapīru depozitārijs;</w:t>
      </w:r>
    </w:p>
    <w:p w14:paraId="44F02B07" w14:textId="457293D0" w:rsidR="007E2989" w:rsidRPr="000B66BC" w:rsidRDefault="007E2989" w:rsidP="009339D1">
      <w:pPr>
        <w:pStyle w:val="InstructionsText2"/>
        <w:numPr>
          <w:ilvl w:val="0"/>
          <w:numId w:val="0"/>
        </w:numPr>
        <w:ind w:left="1440" w:hanging="360"/>
        <w:rPr>
          <w:rFonts w:eastAsia="Times New Roman"/>
          <w:bCs/>
          <w:sz w:val="24"/>
        </w:rPr>
      </w:pPr>
      <w:r>
        <w:rPr>
          <w:sz w:val="24"/>
        </w:rPr>
        <w:t xml:space="preserve">f) </w:t>
      </w:r>
      <w:r>
        <w:rPr>
          <w:sz w:val="24"/>
        </w:rPr>
        <w:tab/>
      </w:r>
      <w:r>
        <w:rPr>
          <w:i/>
          <w:iCs/>
          <w:sz w:val="24"/>
        </w:rPr>
        <w:t>QCCP</w:t>
      </w:r>
      <w:r>
        <w:rPr>
          <w:sz w:val="24"/>
        </w:rPr>
        <w:t xml:space="preserve"> – atbilstīgs centrālais darījumu partneris;</w:t>
      </w:r>
    </w:p>
    <w:p w14:paraId="4CAF859B" w14:textId="77777777" w:rsidR="007E2989" w:rsidRPr="000B66BC" w:rsidRDefault="007E2989" w:rsidP="009339D1">
      <w:pPr>
        <w:pStyle w:val="InstructionsText2"/>
        <w:numPr>
          <w:ilvl w:val="0"/>
          <w:numId w:val="0"/>
        </w:numPr>
        <w:ind w:left="1440" w:hanging="360"/>
        <w:rPr>
          <w:rFonts w:eastAsia="Times New Roman"/>
          <w:bCs/>
          <w:sz w:val="24"/>
        </w:rPr>
      </w:pPr>
      <w:r>
        <w:rPr>
          <w:sz w:val="24"/>
        </w:rPr>
        <w:t xml:space="preserve">g) </w:t>
      </w:r>
      <w:r>
        <w:rPr>
          <w:sz w:val="24"/>
        </w:rPr>
        <w:tab/>
      </w:r>
      <w:r>
        <w:rPr>
          <w:i/>
          <w:iCs/>
          <w:sz w:val="24"/>
        </w:rPr>
        <w:t>PFE</w:t>
      </w:r>
      <w:r>
        <w:rPr>
          <w:sz w:val="24"/>
        </w:rPr>
        <w:t xml:space="preserve"> – potenciālā nākotnes kredītriska darījumu vērtība.</w:t>
      </w:r>
    </w:p>
    <w:p w14:paraId="04A571E4" w14:textId="77777777" w:rsidR="00217D1F" w:rsidRPr="000B66BC" w:rsidRDefault="00500508" w:rsidP="000B66BC">
      <w:pPr>
        <w:pStyle w:val="BodyText1"/>
        <w:spacing w:after="240"/>
        <w:ind w:left="357" w:hanging="357"/>
        <w:outlineLvl w:val="2"/>
        <w:rPr>
          <w:rFonts w:ascii="Times New Roman" w:hAnsi="Times New Roman"/>
          <w:b/>
          <w:sz w:val="24"/>
          <w:szCs w:val="24"/>
        </w:rPr>
      </w:pPr>
      <w:bookmarkStart w:id="29" w:name="_Toc423089065"/>
      <w:bookmarkStart w:id="30" w:name="_Toc188889277"/>
      <w:r>
        <w:rPr>
          <w:rFonts w:ascii="Times New Roman" w:hAnsi="Times New Roman"/>
          <w:b/>
          <w:sz w:val="24"/>
        </w:rPr>
        <w:t>1.4.</w:t>
      </w:r>
      <w:r>
        <w:rPr>
          <w:rFonts w:ascii="Times New Roman" w:hAnsi="Times New Roman"/>
          <w:b/>
          <w:sz w:val="24"/>
        </w:rPr>
        <w:tab/>
        <w:t>Pieņemtā prakse attiecībā uz zīmēm</w:t>
      </w:r>
      <w:bookmarkEnd w:id="14"/>
      <w:bookmarkEnd w:id="15"/>
      <w:bookmarkEnd w:id="26"/>
      <w:bookmarkEnd w:id="27"/>
      <w:bookmarkEnd w:id="28"/>
      <w:bookmarkEnd w:id="29"/>
      <w:bookmarkEnd w:id="30"/>
    </w:p>
    <w:p w14:paraId="077A5720" w14:textId="08AE4F7D" w:rsidR="0058289F" w:rsidRPr="000B66BC" w:rsidRDefault="00500508" w:rsidP="009339D1">
      <w:pPr>
        <w:pStyle w:val="InstructionsText2"/>
        <w:numPr>
          <w:ilvl w:val="0"/>
          <w:numId w:val="0"/>
        </w:numPr>
        <w:ind w:left="720" w:hanging="360"/>
        <w:rPr>
          <w:rFonts w:eastAsia="Times New Roman"/>
          <w:bCs/>
          <w:sz w:val="24"/>
        </w:rPr>
      </w:pPr>
      <w:bookmarkStart w:id="31" w:name="_Toc322687869"/>
      <w:r>
        <w:rPr>
          <w:sz w:val="24"/>
        </w:rPr>
        <w:t>9.</w:t>
      </w:r>
      <w:r>
        <w:rPr>
          <w:sz w:val="24"/>
        </w:rPr>
        <w:tab/>
        <w:t>Visas summas norāda kā pozitīvus skaitļus.</w:t>
      </w:r>
      <w:bookmarkStart w:id="32" w:name="_Toc264033192"/>
      <w:bookmarkEnd w:id="32"/>
      <w:r>
        <w:rPr>
          <w:sz w:val="24"/>
        </w:rPr>
        <w:t xml:space="preserve"> izņemot:</w:t>
      </w:r>
    </w:p>
    <w:p w14:paraId="7B6D27CF" w14:textId="222C2E2D" w:rsidR="0058289F" w:rsidRPr="000B66BC" w:rsidRDefault="00A5392D" w:rsidP="009339D1">
      <w:pPr>
        <w:pStyle w:val="InstructionsText2"/>
        <w:numPr>
          <w:ilvl w:val="0"/>
          <w:numId w:val="25"/>
        </w:numPr>
        <w:rPr>
          <w:rFonts w:eastAsia="Times New Roman"/>
          <w:bCs/>
          <w:sz w:val="24"/>
        </w:rPr>
      </w:pPr>
      <w:r>
        <w:rPr>
          <w:sz w:val="24"/>
        </w:rPr>
        <w:t>posteņus, pirms kuru apzīmējuma ir mīnusa zīme (–), tātad attiecībā uz kuriem nav sagaidāma pozitīva vērtība;</w:t>
      </w:r>
    </w:p>
    <w:p w14:paraId="259D3174" w14:textId="186210E9" w:rsidR="00E40D66" w:rsidRPr="000B66BC" w:rsidRDefault="00E40D66" w:rsidP="009339D1">
      <w:pPr>
        <w:pStyle w:val="InstructionsText2"/>
        <w:numPr>
          <w:ilvl w:val="0"/>
          <w:numId w:val="25"/>
        </w:numPr>
        <w:rPr>
          <w:rFonts w:eastAsia="Times New Roman"/>
          <w:bCs/>
          <w:sz w:val="24"/>
        </w:rPr>
      </w:pPr>
      <w:r>
        <w:rPr>
          <w:sz w:val="24"/>
        </w:rPr>
        <w:t>posteņus {LRCalc;0310;0010}, {LRCalc;0320;0010}, {LRCalc;0330;0010}, {LRCalc;0340;0010}, kuriem ekstrēmos gadījumos var būt negatīva vērtība, bet citādi vērtība ir pozitīva;</w:t>
      </w:r>
    </w:p>
    <w:p w14:paraId="1A7EEF5B" w14:textId="10CFE72E" w:rsidR="0060741B" w:rsidRPr="000B66BC" w:rsidRDefault="00C62C1B" w:rsidP="00AB2B09">
      <w:pPr>
        <w:pStyle w:val="InstructionsText2"/>
        <w:numPr>
          <w:ilvl w:val="0"/>
          <w:numId w:val="0"/>
        </w:numPr>
        <w:ind w:left="1080"/>
        <w:rPr>
          <w:rFonts w:eastAsia="Times New Roman"/>
          <w:bCs/>
          <w:sz w:val="24"/>
        </w:rPr>
      </w:pPr>
      <w:r>
        <w:rPr>
          <w:sz w:val="24"/>
        </w:rPr>
        <w:t xml:space="preserve"> </w:t>
      </w:r>
    </w:p>
    <w:p w14:paraId="12B14317" w14:textId="77777777" w:rsidR="001F28C3" w:rsidRPr="000B66BC" w:rsidRDefault="00360A3D" w:rsidP="009339D1">
      <w:pPr>
        <w:pStyle w:val="InstructionsText2"/>
        <w:numPr>
          <w:ilvl w:val="0"/>
          <w:numId w:val="0"/>
        </w:numPr>
        <w:ind w:left="720"/>
        <w:rPr>
          <w:rFonts w:eastAsia="Times New Roman"/>
          <w:bCs/>
          <w:sz w:val="24"/>
        </w:rPr>
      </w:pPr>
      <w:r>
        <w:rPr>
          <w:sz w:val="24"/>
        </w:rPr>
        <w:t xml:space="preserve"> </w:t>
      </w:r>
    </w:p>
    <w:p w14:paraId="35677258" w14:textId="77777777" w:rsidR="00217D1F" w:rsidRPr="00864866" w:rsidRDefault="00F4754B" w:rsidP="000B66BC">
      <w:pPr>
        <w:pStyle w:val="BodyText1"/>
        <w:spacing w:after="240"/>
        <w:outlineLvl w:val="0"/>
        <w:rPr>
          <w:rFonts w:ascii="Times New Roman" w:hAnsi="Times New Roman"/>
          <w:b/>
          <w:sz w:val="24"/>
          <w:szCs w:val="24"/>
        </w:rPr>
      </w:pPr>
      <w:r>
        <w:br w:type="page"/>
      </w:r>
      <w:bookmarkStart w:id="33" w:name="_Toc351048504"/>
      <w:bookmarkStart w:id="34" w:name="_Toc359414281"/>
      <w:bookmarkStart w:id="35" w:name="_Toc423089066"/>
      <w:bookmarkStart w:id="36" w:name="_Toc188889278"/>
      <w:r>
        <w:rPr>
          <w:rFonts w:ascii="Times New Roman" w:hAnsi="Times New Roman"/>
          <w:b/>
          <w:sz w:val="24"/>
        </w:rPr>
        <w:lastRenderedPageBreak/>
        <w:t>II DAĻA. NORĀDĪJUMI SAISTĪBĀ AR VEIDNI</w:t>
      </w:r>
      <w:bookmarkEnd w:id="31"/>
      <w:bookmarkEnd w:id="33"/>
      <w:bookmarkEnd w:id="34"/>
      <w:bookmarkEnd w:id="35"/>
      <w:bookmarkEnd w:id="36"/>
    </w:p>
    <w:p w14:paraId="4C8C375F" w14:textId="77777777" w:rsidR="00505096" w:rsidRPr="000B66BC" w:rsidRDefault="006F588E" w:rsidP="000B66BC">
      <w:pPr>
        <w:pStyle w:val="BodyText1"/>
        <w:spacing w:after="240"/>
        <w:ind w:left="357" w:hanging="357"/>
        <w:outlineLvl w:val="1"/>
        <w:rPr>
          <w:rFonts w:ascii="Times New Roman" w:hAnsi="Times New Roman"/>
          <w:b/>
          <w:sz w:val="24"/>
          <w:szCs w:val="24"/>
        </w:rPr>
      </w:pPr>
      <w:bookmarkStart w:id="37" w:name="_Toc423089068"/>
      <w:bookmarkStart w:id="38" w:name="_Toc359414283"/>
      <w:bookmarkStart w:id="39" w:name="_Toc322533849"/>
      <w:bookmarkStart w:id="40" w:name="_Toc188889279"/>
      <w:r>
        <w:rPr>
          <w:rFonts w:ascii="Times New Roman" w:hAnsi="Times New Roman"/>
          <w:b/>
          <w:sz w:val="24"/>
        </w:rPr>
        <w:t>1.</w:t>
      </w:r>
      <w:r>
        <w:rPr>
          <w:rFonts w:ascii="Times New Roman" w:hAnsi="Times New Roman"/>
          <w:b/>
          <w:sz w:val="24"/>
        </w:rPr>
        <w:tab/>
        <w:t>Sviras rādītāja aprēķināšanas formulas</w:t>
      </w:r>
      <w:bookmarkEnd w:id="37"/>
      <w:bookmarkEnd w:id="38"/>
      <w:bookmarkEnd w:id="40"/>
    </w:p>
    <w:p w14:paraId="23B05B4C" w14:textId="08E66F21" w:rsidR="00505096"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w:t>
      </w:r>
      <w:r>
        <w:rPr>
          <w:rFonts w:ascii="Times New Roman" w:hAnsi="Times New Roman"/>
          <w:sz w:val="24"/>
        </w:rPr>
        <w:tab/>
        <w:t xml:space="preserve">Sviras rādītāju aprēķina, izmantojot kapitāla mēru un kopējās riska darījumu vērtības mēru, ko savukārt aprēķina no </w:t>
      </w:r>
      <w:proofErr w:type="spellStart"/>
      <w:r>
        <w:rPr>
          <w:rFonts w:ascii="Times New Roman" w:hAnsi="Times New Roman"/>
          <w:sz w:val="24"/>
        </w:rPr>
        <w:t>LRCalc</w:t>
      </w:r>
      <w:proofErr w:type="spellEnd"/>
      <w:r>
        <w:rPr>
          <w:rFonts w:ascii="Times New Roman" w:hAnsi="Times New Roman"/>
          <w:sz w:val="24"/>
        </w:rPr>
        <w:t xml:space="preserve"> veidnes šūnām. </w:t>
      </w:r>
    </w:p>
    <w:p w14:paraId="25E094A5" w14:textId="09CDBDB2"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w:t>
      </w:r>
      <w:r>
        <w:rPr>
          <w:rFonts w:ascii="Times New Roman" w:hAnsi="Times New Roman"/>
          <w:sz w:val="24"/>
        </w:rPr>
        <w:tab/>
        <w:t>Sviras rādītājs – pilnībā ieviestā definīcija = {LRCalc;0310;0010} / {LRCalc;0290;0010}.</w:t>
      </w:r>
    </w:p>
    <w:p w14:paraId="0177EE20" w14:textId="51F58570" w:rsidR="00B8400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3.</w:t>
      </w:r>
      <w:r>
        <w:rPr>
          <w:rFonts w:ascii="Times New Roman" w:hAnsi="Times New Roman"/>
          <w:sz w:val="24"/>
        </w:rPr>
        <w:tab/>
        <w:t>Sviras rādītājs – pārejas definīcija = {LRCalc;0320;0010} / {LRCalc;0300;0010}.</w:t>
      </w:r>
    </w:p>
    <w:p w14:paraId="5857476D" w14:textId="11118B79" w:rsidR="00505096" w:rsidRPr="000B66BC" w:rsidRDefault="005F4574" w:rsidP="000B66BC">
      <w:pPr>
        <w:pStyle w:val="BodyText1"/>
        <w:spacing w:after="240"/>
        <w:ind w:left="357" w:hanging="357"/>
        <w:outlineLvl w:val="1"/>
        <w:rPr>
          <w:rFonts w:ascii="Times New Roman" w:hAnsi="Times New Roman"/>
          <w:b/>
          <w:sz w:val="24"/>
          <w:szCs w:val="24"/>
        </w:rPr>
      </w:pPr>
      <w:bookmarkStart w:id="41" w:name="_Toc359414284"/>
      <w:bookmarkStart w:id="42" w:name="_Toc423089069"/>
      <w:bookmarkStart w:id="43" w:name="_Toc322533852"/>
      <w:bookmarkStart w:id="44" w:name="_Toc188889280"/>
      <w:bookmarkEnd w:id="39"/>
      <w:r>
        <w:rPr>
          <w:rFonts w:ascii="Times New Roman" w:hAnsi="Times New Roman"/>
          <w:b/>
          <w:sz w:val="24"/>
        </w:rPr>
        <w:t>2.</w:t>
      </w:r>
      <w:r>
        <w:rPr>
          <w:rFonts w:ascii="Times New Roman" w:hAnsi="Times New Roman"/>
          <w:b/>
          <w:sz w:val="24"/>
        </w:rPr>
        <w:tab/>
        <w:t>Atvasināto instrumentu būtiskuma sliekšņi</w:t>
      </w:r>
      <w:bookmarkEnd w:id="41"/>
      <w:bookmarkEnd w:id="42"/>
      <w:bookmarkEnd w:id="44"/>
    </w:p>
    <w:p w14:paraId="677B6944" w14:textId="3E22E31F"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4.</w:t>
      </w:r>
      <w:r>
        <w:rPr>
          <w:rFonts w:ascii="Times New Roman" w:hAnsi="Times New Roman"/>
          <w:sz w:val="24"/>
        </w:rPr>
        <w:tab/>
        <w:t>Lai samazinātu pārskatu sniegšanas slogu iestādēm, kurām ir maz riska darījumu ar atvasinātajiem instrumentiem, izmanto šādus mērus, lai novērtētu riska darījumu vērtības ar atvasinātajiem instrumentiem relatīvo nozīmi attiecībā pret sviras rādītāja kopējo riska darījumu vērtību. Iestādes šos mērus aprēķina šādi:</w:t>
      </w:r>
      <w:bookmarkStart w:id="45" w:name="_Toc322533853"/>
      <w:bookmarkEnd w:id="43"/>
    </w:p>
    <w:p w14:paraId="1388E099" w14:textId="7B0D8BD8" w:rsidR="00354188" w:rsidRPr="000B66BC" w:rsidRDefault="006F588E" w:rsidP="000B66BC">
      <w:pPr>
        <w:pStyle w:val="BodyText1"/>
        <w:spacing w:after="240" w:line="240" w:lineRule="auto"/>
        <w:ind w:left="720" w:hanging="360"/>
        <w:rPr>
          <w:rFonts w:ascii="Times New Roman" w:hAnsi="Times New Roman"/>
          <w:sz w:val="24"/>
          <w:szCs w:val="24"/>
        </w:rPr>
      </w:pPr>
      <w:bookmarkStart w:id="46" w:name="_Toc322533854"/>
      <w:bookmarkEnd w:id="45"/>
      <w:r>
        <w:rPr>
          <w:rFonts w:ascii="Times New Roman" w:hAnsi="Times New Roman"/>
          <w:sz w:val="24"/>
        </w:rPr>
        <w:t>5.</w:t>
      </w:r>
      <w:r>
        <w:rPr>
          <w:rFonts w:ascii="Times New Roman" w:hAnsi="Times New Roman"/>
          <w:sz w:val="24"/>
        </w:rPr>
        <w:tab/>
        <w:t xml:space="preserve">Atvasināto instrumentu īpatsvars </w:t>
      </w:r>
      <m:oMath>
        <m:f>
          <m:fPr>
            <m:ctrlPr>
              <w:rPr>
                <w:rFonts w:ascii="Cambria Math" w:hAnsi="Times New Roman"/>
                <w:sz w:val="24"/>
                <w:szCs w:val="24"/>
              </w:rPr>
            </m:ctrlPr>
          </m:fPr>
          <m:num>
            <m:r>
              <m:rPr>
                <m:sty m:val="p"/>
              </m:rPr>
              <w:rPr>
                <w:rFonts w:ascii="Cambria Math" w:hAnsi="Times New Roman"/>
                <w:sz w:val="24"/>
                <w:szCs w:val="24"/>
              </w:rPr>
              <m:t>Derivative exposure measure</m:t>
            </m:r>
          </m:num>
          <m:den>
            <m:r>
              <m:rPr>
                <m:sty m:val="p"/>
              </m:rPr>
              <w:rPr>
                <w:rFonts w:ascii="Cambria Math" w:hAnsi="Times New Roman"/>
                <w:sz w:val="24"/>
                <w:szCs w:val="24"/>
              </w:rPr>
              <m:t>Total exposure measure</m:t>
            </m:r>
          </m:den>
        </m:f>
      </m:oMath>
      <w:r>
        <w:t>.</w:t>
      </w:r>
    </w:p>
    <w:p w14:paraId="59FDE449" w14:textId="7D30F780" w:rsidR="00FC2664"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6.</w:t>
      </w:r>
      <w:r>
        <w:rPr>
          <w:rFonts w:ascii="Times New Roman" w:hAnsi="Times New Roman"/>
          <w:sz w:val="24"/>
        </w:rPr>
        <w:tab/>
        <w:t>Kur atvasināto instrumentu riska darījumu vērtības mērs ir vienāds ar: {LRCalc;0061;0010}+{LRCalc;0065;0010}+{LRCalc;0071;0010}+{LRCalc;0081;0010}+{LRCalc;0091;0010}+{LRCalc;0092;0010}+{LRCalc;0093;0010}+{LRCalc;0101;0010}+{LRCalc;0102;0010}+{LRCalc;0103;0010}+{LRCalc;0104;0010}+{LRCalc;0110;0010}+{LRCalc;0120;0010}+{LRCalc;0130;0010}+{LRCalc;0140;0010}</w:t>
      </w:r>
    </w:p>
    <w:p w14:paraId="7C2BB4E9" w14:textId="1E407FFF" w:rsidR="00EB7F64"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7.</w:t>
      </w:r>
      <w:r>
        <w:rPr>
          <w:rFonts w:ascii="Times New Roman" w:hAnsi="Times New Roman"/>
          <w:sz w:val="24"/>
        </w:rPr>
        <w:tab/>
        <w:t>Kur kopējās riska darījumu vērtības mērs ir vienāds ar: {LRCalc;0290;0010}.</w:t>
      </w:r>
    </w:p>
    <w:p w14:paraId="236C5046" w14:textId="3D6A3933"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8.</w:t>
      </w:r>
      <w:r>
        <w:rPr>
          <w:rFonts w:ascii="Times New Roman" w:hAnsi="Times New Roman"/>
          <w:sz w:val="24"/>
        </w:rPr>
        <w:tab/>
        <w:t>Atvasināto instrumentu kopējā nosacītā vērtība = {LR1; 0010–0070}. Tā ir šūna, kuru iestādes vienmēr norāda.</w:t>
      </w:r>
    </w:p>
    <w:p w14:paraId="5F8B3FC4" w14:textId="32C9016A"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9.</w:t>
      </w:r>
      <w:r>
        <w:rPr>
          <w:rFonts w:ascii="Times New Roman" w:hAnsi="Times New Roman"/>
          <w:sz w:val="24"/>
        </w:rPr>
        <w:tab/>
        <w:t>Kredītu atvasināto instrumentu apjoms = {LR1;0020;0070} + {LR1;0050;0070}. Tās ir šūnas, kuras iestādes vienmēr norāda.</w:t>
      </w:r>
    </w:p>
    <w:p w14:paraId="10930518" w14:textId="07ED25AD"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10.</w:t>
      </w:r>
      <w:r>
        <w:rPr>
          <w:rFonts w:ascii="Times New Roman" w:hAnsi="Times New Roman"/>
          <w:sz w:val="24"/>
        </w:rPr>
        <w:tab/>
        <w:t>Iestādēm jāuzrāda vērtības 13. punktā minētajās šūnās, ja ir izpildīts kāds no šiem nosacījumiem:</w:t>
      </w:r>
    </w:p>
    <w:p w14:paraId="2564CD75" w14:textId="1B9B37E1" w:rsidR="00F4754B" w:rsidRPr="000B66BC" w:rsidRDefault="007A001B" w:rsidP="009339D1">
      <w:pPr>
        <w:pStyle w:val="InstructionsText2"/>
        <w:numPr>
          <w:ilvl w:val="0"/>
          <w:numId w:val="39"/>
        </w:numPr>
        <w:rPr>
          <w:rFonts w:eastAsia="Times New Roman"/>
          <w:bCs/>
          <w:sz w:val="24"/>
        </w:rPr>
      </w:pPr>
      <w:r>
        <w:rPr>
          <w:sz w:val="24"/>
        </w:rPr>
        <w:t>atvasināto instrumentu īpatsvars, kas minēts 5. punktā, pārsniedz 1,5 %;</w:t>
      </w:r>
    </w:p>
    <w:p w14:paraId="272AC9A9" w14:textId="6954E060" w:rsidR="00675587" w:rsidRPr="000B66BC" w:rsidRDefault="007A001B" w:rsidP="009339D1">
      <w:pPr>
        <w:pStyle w:val="InstructionsText2"/>
        <w:numPr>
          <w:ilvl w:val="0"/>
          <w:numId w:val="39"/>
        </w:numPr>
        <w:rPr>
          <w:rFonts w:eastAsia="Times New Roman"/>
          <w:bCs/>
          <w:sz w:val="24"/>
        </w:rPr>
      </w:pPr>
      <w:r>
        <w:rPr>
          <w:sz w:val="24"/>
        </w:rPr>
        <w:t>atvasināto instrumentu īpatsvars, kas minēts 5. punktā, pārsniedz 2,0 %.</w:t>
      </w:r>
    </w:p>
    <w:p w14:paraId="2F872F2A" w14:textId="7830BBF5" w:rsidR="00242493" w:rsidRPr="000B66BC" w:rsidRDefault="00242493" w:rsidP="009339D1">
      <w:pPr>
        <w:pStyle w:val="InstructionsText2"/>
        <w:numPr>
          <w:ilvl w:val="0"/>
          <w:numId w:val="0"/>
        </w:numPr>
        <w:ind w:left="709" w:firstLine="11"/>
        <w:rPr>
          <w:rFonts w:eastAsia="Times New Roman"/>
          <w:bCs/>
          <w:sz w:val="24"/>
        </w:rPr>
      </w:pPr>
      <w:r>
        <w:rPr>
          <w:sz w:val="24"/>
        </w:rPr>
        <w:t>Piemēro šīs regulas 4. pantā paredzētos iekļaušanas un izslēgšanas kritērijus, izņemot attiecībā uz b) apakšpunktu, kura gadījumā iestādes sāk sniegt informāciju no nākamā pārskata atsauces datuma pēc sliekšņa pārsniegšanas kādā no pārskata atsauces datumiem.</w:t>
      </w:r>
    </w:p>
    <w:p w14:paraId="70291EC5" w14:textId="77777777" w:rsidR="00F4754B" w:rsidRPr="000B66BC" w:rsidRDefault="00F4754B" w:rsidP="000B66BC">
      <w:pPr>
        <w:pStyle w:val="BodyText1"/>
        <w:spacing w:after="240" w:line="240" w:lineRule="auto"/>
        <w:rPr>
          <w:rFonts w:ascii="Times New Roman" w:hAnsi="Times New Roman"/>
          <w:sz w:val="24"/>
          <w:szCs w:val="24"/>
        </w:rPr>
      </w:pPr>
    </w:p>
    <w:p w14:paraId="748E5477" w14:textId="35CC7961"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lastRenderedPageBreak/>
        <w:t>11.</w:t>
      </w:r>
      <w:r>
        <w:rPr>
          <w:rFonts w:ascii="Times New Roman" w:hAnsi="Times New Roman"/>
          <w:sz w:val="24"/>
        </w:rPr>
        <w:tab/>
        <w:t>Iestādes, kuru atvasināto instrumentu kopējā nosacītā vērtība, kas minēta 8. punktā, pārsniedz 10 miljardus EUR, uzrāda vērtības 13. punktā minētajās šūnās pat tad, ja to atvasināto instrumentu īpatsvars neatbilst 10. punktā aprakstītajiem nosacījumiem.</w:t>
      </w:r>
    </w:p>
    <w:p w14:paraId="48A7F7A1" w14:textId="709E0327" w:rsidR="00242493" w:rsidRPr="000B66BC" w:rsidRDefault="00242493"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ab/>
        <w:t>Šīs regulas 4. pantā noteiktos iekļaušanas kritērijus nepiemēro. Iestādes sāk sniegt informāciju no nākamā pārskata atsauces datuma pēc sliekšņa pārsniegšanas kādā no pārskata atsauces datumiem.</w:t>
      </w:r>
    </w:p>
    <w:p w14:paraId="49F753AA" w14:textId="0D7F1C4D"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12.</w:t>
      </w:r>
      <w:r>
        <w:rPr>
          <w:rFonts w:ascii="Times New Roman" w:hAnsi="Times New Roman"/>
          <w:sz w:val="24"/>
        </w:rPr>
        <w:tab/>
        <w:t>Iestādēm jāuzrāda vērtības 14. punktā minētajās šūnās, ja ir izpildīts kāds no šiem nosacījumiem:</w:t>
      </w:r>
    </w:p>
    <w:p w14:paraId="3F12E5B0" w14:textId="61844629" w:rsidR="00F4754B" w:rsidRPr="000B66BC" w:rsidRDefault="007A001B" w:rsidP="009339D1">
      <w:pPr>
        <w:pStyle w:val="InstructionsText2"/>
        <w:numPr>
          <w:ilvl w:val="0"/>
          <w:numId w:val="40"/>
        </w:numPr>
        <w:rPr>
          <w:rFonts w:eastAsia="Times New Roman"/>
          <w:bCs/>
          <w:sz w:val="24"/>
        </w:rPr>
      </w:pPr>
      <w:r>
        <w:rPr>
          <w:sz w:val="24"/>
        </w:rPr>
        <w:t>kredītu atvasināto instrumentu apjoms, kas minēts 9. punktā, pārsniedz 300 miljonus EUR;</w:t>
      </w:r>
    </w:p>
    <w:p w14:paraId="53026947" w14:textId="5B38C368" w:rsidR="00675587" w:rsidRPr="000B66BC" w:rsidRDefault="007A001B" w:rsidP="009339D1">
      <w:pPr>
        <w:pStyle w:val="InstructionsText2"/>
        <w:numPr>
          <w:ilvl w:val="0"/>
          <w:numId w:val="40"/>
        </w:numPr>
        <w:rPr>
          <w:rFonts w:eastAsia="Times New Roman"/>
          <w:bCs/>
          <w:sz w:val="24"/>
        </w:rPr>
      </w:pPr>
      <w:r>
        <w:rPr>
          <w:sz w:val="24"/>
        </w:rPr>
        <w:t>kredītu atvasināto instrumentu apjoms, kas minēts 9. punktā, pārsniedz 500 miljonus EUR.</w:t>
      </w:r>
    </w:p>
    <w:p w14:paraId="3B88084F" w14:textId="34241752" w:rsidR="00F4754B" w:rsidRPr="000B66BC" w:rsidRDefault="00242493" w:rsidP="000B66BC">
      <w:pPr>
        <w:pStyle w:val="InstructionsText2"/>
        <w:numPr>
          <w:ilvl w:val="0"/>
          <w:numId w:val="0"/>
        </w:numPr>
        <w:ind w:left="709" w:firstLine="11"/>
        <w:rPr>
          <w:sz w:val="24"/>
        </w:rPr>
      </w:pPr>
      <w:r>
        <w:rPr>
          <w:sz w:val="24"/>
        </w:rPr>
        <w:t>Piemēro šīs regulas 4. pantā paredzētos iekļaušanas un izslēgšanas kritērijus, izņemot attiecībā uz b) apakšpunktu, kura gadījumā iestādes sāk sniegt informāciju no nākamā pārskata atsauces datuma pēc sliekšņa pārsniegšanas kādā no pārskata atsauces datumiem.</w:t>
      </w:r>
    </w:p>
    <w:p w14:paraId="6CB3856E" w14:textId="36C7913E"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13.</w:t>
      </w:r>
      <w:r>
        <w:rPr>
          <w:rFonts w:ascii="Times New Roman" w:hAnsi="Times New Roman"/>
          <w:sz w:val="24"/>
        </w:rPr>
        <w:tab/>
        <w:t>Šūnas, kurās iestādēm jāuzrāda dati saskaņā ar 10. un 11. punktu, ir šādas: {LR1;0010;0010}, {LR1;0010;0020}, {LR1;0020;0010}, {LR1;0020;0020}, {LR1;0030;0070}, {LR1;0040;0070}, {LR1;0050;0010}, {LR1;0050;0020}, {LR1;0060;0010}, {LR1;0060;0020}, un {LR1;0060;0070}.</w:t>
      </w:r>
    </w:p>
    <w:p w14:paraId="6F47B92E" w14:textId="36B5B5EF"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14.</w:t>
      </w:r>
      <w:r>
        <w:rPr>
          <w:rFonts w:ascii="Times New Roman" w:hAnsi="Times New Roman"/>
          <w:sz w:val="24"/>
        </w:rPr>
        <w:tab/>
        <w:t>Šūnas, kurās iestādēm jāuzrāda dati saskaņā ar 12. punktu, ir šādas: {LR1;0020;0075}, {LR1;0050;0075} un {LR1;0050;0085}.</w:t>
      </w:r>
    </w:p>
    <w:p w14:paraId="00E6EF91" w14:textId="4226172D" w:rsidR="00217D1F" w:rsidRPr="000B66BC" w:rsidRDefault="005F4574" w:rsidP="000B66BC">
      <w:pPr>
        <w:pStyle w:val="BodyText1"/>
        <w:spacing w:after="240"/>
        <w:ind w:left="357" w:hanging="357"/>
        <w:outlineLvl w:val="1"/>
        <w:rPr>
          <w:rFonts w:ascii="Times New Roman" w:hAnsi="Times New Roman"/>
          <w:b/>
          <w:sz w:val="24"/>
          <w:szCs w:val="24"/>
        </w:rPr>
      </w:pPr>
      <w:bookmarkStart w:id="47" w:name="_Toc351048506"/>
      <w:bookmarkStart w:id="48" w:name="_Toc359414285"/>
      <w:bookmarkStart w:id="49" w:name="_Toc423089070"/>
      <w:bookmarkStart w:id="50" w:name="_Toc322687879"/>
      <w:bookmarkStart w:id="51" w:name="_Toc315961853"/>
      <w:bookmarkStart w:id="52" w:name="_Toc188889281"/>
      <w:bookmarkEnd w:id="46"/>
      <w:r>
        <w:rPr>
          <w:rFonts w:ascii="Times New Roman" w:hAnsi="Times New Roman"/>
          <w:b/>
          <w:sz w:val="24"/>
        </w:rPr>
        <w:t>3.</w:t>
      </w:r>
      <w:r>
        <w:rPr>
          <w:rFonts w:ascii="Times New Roman" w:hAnsi="Times New Roman"/>
          <w:b/>
          <w:sz w:val="24"/>
        </w:rPr>
        <w:tab/>
        <w:t xml:space="preserve">C 47.00 – Sviras rādītāja aprēķināšana </w:t>
      </w:r>
      <w:bookmarkEnd w:id="47"/>
      <w:bookmarkEnd w:id="48"/>
      <w:r>
        <w:rPr>
          <w:rFonts w:ascii="Times New Roman" w:hAnsi="Times New Roman"/>
          <w:b/>
          <w:sz w:val="24"/>
        </w:rPr>
        <w:t xml:space="preserve"> (</w:t>
      </w:r>
      <w:proofErr w:type="spellStart"/>
      <w:r>
        <w:rPr>
          <w:rFonts w:ascii="Times New Roman" w:hAnsi="Times New Roman"/>
          <w:b/>
          <w:sz w:val="24"/>
        </w:rPr>
        <w:t>LRCalc</w:t>
      </w:r>
      <w:proofErr w:type="spellEnd"/>
      <w:r>
        <w:rPr>
          <w:rFonts w:ascii="Times New Roman" w:hAnsi="Times New Roman"/>
          <w:b/>
          <w:sz w:val="24"/>
        </w:rPr>
        <w:t>)</w:t>
      </w:r>
      <w:bookmarkEnd w:id="49"/>
      <w:bookmarkEnd w:id="52"/>
    </w:p>
    <w:p w14:paraId="5579B71F" w14:textId="78EBED7E" w:rsidR="00AE2798"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15.</w:t>
      </w:r>
      <w:r>
        <w:rPr>
          <w:rFonts w:ascii="Times New Roman" w:hAnsi="Times New Roman"/>
          <w:sz w:val="24"/>
        </w:rPr>
        <w:tab/>
        <w:t xml:space="preserve">Šajā veidnē tiek apkopoti dati, kuri nepieciešami Regulas (ES) Nr. 575/2013 septītajā daļā paredzētā sviras rādītāja aprēķināšanai. </w:t>
      </w:r>
    </w:p>
    <w:p w14:paraId="0E7DE041" w14:textId="23463C95" w:rsidR="00AE2798"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16.</w:t>
      </w:r>
      <w:r>
        <w:rPr>
          <w:rFonts w:ascii="Times New Roman" w:hAnsi="Times New Roman"/>
          <w:sz w:val="24"/>
        </w:rPr>
        <w:tab/>
        <w:t>Iestādes pārskatu par sviras rādītāju sniedz reizi ceturksnī. Katrā ceturksnī vērtība “pārskata sniegšanas atsauces datumā” ir vērtība attiecīgā ceturkšņa trešā mēneša pēdējā kalendārajā dienā.</w:t>
      </w:r>
    </w:p>
    <w:p w14:paraId="36716E2F" w14:textId="501E6CBB" w:rsidR="00941862" w:rsidRPr="000B66BC" w:rsidRDefault="008B4710"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17.</w:t>
      </w:r>
      <w:r>
        <w:rPr>
          <w:rFonts w:ascii="Times New Roman" w:hAnsi="Times New Roman"/>
          <w:sz w:val="24"/>
        </w:rPr>
        <w:tab/>
        <w:t>Iedaļā “Riska darījumu vērtības” iestādes attiecīgo posteņu vērtības saskaņā ar šā pielikuma I daļas 9. punktā noteikto zīmju konvenciju uzrāda ar pozitīvu zīmi (izņemot {LRCalc;0270;0010} un {LRCalc;0280;0010}) tā, it kā posteņiem ar negatīvu zīmi (piemēram, atbrīvojumiem/atskaitījumiem) šā pielikuma I daļas 9. punktā noteiktā zīmju konvencija netiktu piemērota.</w:t>
      </w:r>
    </w:p>
    <w:p w14:paraId="725F2D82" w14:textId="2BEB62D8" w:rsidR="00720503" w:rsidRPr="000B66BC" w:rsidRDefault="006F588E" w:rsidP="009339D1">
      <w:pPr>
        <w:pStyle w:val="InstructionsText2"/>
        <w:numPr>
          <w:ilvl w:val="0"/>
          <w:numId w:val="0"/>
        </w:numPr>
        <w:ind w:left="720" w:hanging="360"/>
        <w:rPr>
          <w:sz w:val="24"/>
        </w:rPr>
      </w:pPr>
      <w:r>
        <w:rPr>
          <w:sz w:val="24"/>
        </w:rPr>
        <w:t>18.</w:t>
      </w:r>
      <w:r>
        <w:rPr>
          <w:sz w:val="24"/>
        </w:rPr>
        <w:tab/>
        <w:t>Jebkuru summu, kas palielina pašu kapitālu vai sviras rādītāja riska darījuma vērtību, norāda kā pozitīvu skaitli. Turpretim summu, kas samazina kopējo pašu kapitālu vai sviras rādītāja riska darījuma vērtību, norāda kā negatīvu skaitli. Ja pirms kāda posteņa apzīmējuma ir mīnuszīme (-), paredzēts, ka minēto posteni neuzrāda kā pozitīvu skaitli.</w:t>
      </w:r>
    </w:p>
    <w:p w14:paraId="69E62B50" w14:textId="0E030492" w:rsidR="00EC3422" w:rsidRPr="000B66BC" w:rsidRDefault="006A4991" w:rsidP="009339D1">
      <w:pPr>
        <w:pStyle w:val="InstructionsText2"/>
        <w:numPr>
          <w:ilvl w:val="0"/>
          <w:numId w:val="0"/>
        </w:numPr>
        <w:ind w:left="720" w:hanging="360"/>
        <w:rPr>
          <w:sz w:val="24"/>
        </w:rPr>
      </w:pPr>
      <w:r>
        <w:rPr>
          <w:sz w:val="24"/>
        </w:rPr>
        <w:lastRenderedPageBreak/>
        <w:t>19. Ja kāda summa varētu kvalificēties atskaitījumam vairāku iemeslu dēļ, šo summu atskaita no riska darījumu vērtības tikai vienā no C47.00 veidnes rindām.</w:t>
      </w:r>
    </w:p>
    <w:tbl>
      <w:tblPr>
        <w:tblW w:w="912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1"/>
        <w:gridCol w:w="24"/>
        <w:gridCol w:w="7566"/>
      </w:tblGrid>
      <w:tr w:rsidR="00AE2798" w:rsidRPr="00E75BB8" w14:paraId="5579CB50" w14:textId="77777777" w:rsidTr="008979D2">
        <w:trPr>
          <w:trHeight w:val="304"/>
        </w:trPr>
        <w:tc>
          <w:tcPr>
            <w:tcW w:w="1555" w:type="dxa"/>
            <w:gridSpan w:val="2"/>
            <w:shd w:val="clear" w:color="auto" w:fill="D9D9D9"/>
          </w:tcPr>
          <w:p w14:paraId="0C50BBA6" w14:textId="77777777" w:rsidR="00AE2798" w:rsidRPr="000B66BC" w:rsidRDefault="00AE2798" w:rsidP="000B66BC">
            <w:pPr>
              <w:pStyle w:val="BodyText1"/>
              <w:spacing w:after="240"/>
              <w:rPr>
                <w:rFonts w:ascii="Times New Roman" w:hAnsi="Times New Roman"/>
                <w:sz w:val="24"/>
                <w:szCs w:val="24"/>
              </w:rPr>
            </w:pPr>
          </w:p>
        </w:tc>
        <w:tc>
          <w:tcPr>
            <w:tcW w:w="7566" w:type="dxa"/>
            <w:shd w:val="clear" w:color="auto" w:fill="D9D9D9"/>
          </w:tcPr>
          <w:p w14:paraId="103B7EBD" w14:textId="77777777" w:rsidR="00AE2798" w:rsidRPr="000B66BC" w:rsidRDefault="00AE2798" w:rsidP="000B66BC">
            <w:pPr>
              <w:pStyle w:val="BodyText1"/>
              <w:spacing w:after="240"/>
              <w:rPr>
                <w:rFonts w:ascii="Times New Roman" w:hAnsi="Times New Roman"/>
                <w:bCs/>
                <w:sz w:val="24"/>
                <w:szCs w:val="24"/>
                <w:u w:val="single"/>
              </w:rPr>
            </w:pPr>
            <w:r>
              <w:rPr>
                <w:rFonts w:ascii="Times New Roman" w:hAnsi="Times New Roman"/>
                <w:sz w:val="24"/>
              </w:rPr>
              <w:t>Atsauces uz tiesību aktu noteikumiem un norādījumi</w:t>
            </w:r>
          </w:p>
        </w:tc>
      </w:tr>
      <w:tr w:rsidR="00AE2798" w:rsidRPr="00E75BB8" w14:paraId="699B1E0D" w14:textId="77777777" w:rsidTr="008979D2">
        <w:trPr>
          <w:trHeight w:val="304"/>
        </w:trPr>
        <w:tc>
          <w:tcPr>
            <w:tcW w:w="1555" w:type="dxa"/>
            <w:gridSpan w:val="2"/>
            <w:shd w:val="clear" w:color="auto" w:fill="D9D9D9" w:themeFill="background1" w:themeFillShade="D9"/>
          </w:tcPr>
          <w:p w14:paraId="3C798DCF" w14:textId="77777777" w:rsidR="00AE2798" w:rsidRPr="000B66BC" w:rsidRDefault="00AE2798" w:rsidP="000B66BC">
            <w:pPr>
              <w:pStyle w:val="BodyText1"/>
              <w:spacing w:after="240"/>
              <w:rPr>
                <w:rFonts w:ascii="Times New Roman" w:hAnsi="Times New Roman"/>
                <w:b/>
                <w:sz w:val="24"/>
                <w:szCs w:val="24"/>
              </w:rPr>
            </w:pPr>
            <w:r>
              <w:rPr>
                <w:rFonts w:ascii="Times New Roman" w:hAnsi="Times New Roman"/>
                <w:b/>
                <w:sz w:val="24"/>
              </w:rPr>
              <w:t>Rinda un sleja</w:t>
            </w:r>
          </w:p>
        </w:tc>
        <w:tc>
          <w:tcPr>
            <w:tcW w:w="7566" w:type="dxa"/>
            <w:shd w:val="clear" w:color="auto" w:fill="D9D9D9" w:themeFill="background1" w:themeFillShade="D9"/>
          </w:tcPr>
          <w:p w14:paraId="1E421E8F" w14:textId="77777777" w:rsidR="00AE2798" w:rsidRPr="000B66BC" w:rsidRDefault="00AE2798" w:rsidP="000B66BC">
            <w:pPr>
              <w:pStyle w:val="BodyText1"/>
              <w:spacing w:after="240"/>
              <w:rPr>
                <w:rFonts w:ascii="Times New Roman" w:hAnsi="Times New Roman"/>
                <w:b/>
                <w:bCs/>
                <w:sz w:val="24"/>
                <w:szCs w:val="24"/>
              </w:rPr>
            </w:pPr>
            <w:r>
              <w:rPr>
                <w:rFonts w:ascii="Times New Roman" w:hAnsi="Times New Roman"/>
                <w:b/>
                <w:sz w:val="24"/>
              </w:rPr>
              <w:t>Riska darījumu vērtības</w:t>
            </w:r>
          </w:p>
        </w:tc>
      </w:tr>
      <w:tr w:rsidR="00AE2798" w:rsidRPr="00E75BB8" w14:paraId="2DE0B580" w14:textId="77777777" w:rsidTr="008979D2">
        <w:trPr>
          <w:trHeight w:val="304"/>
        </w:trPr>
        <w:tc>
          <w:tcPr>
            <w:tcW w:w="1555" w:type="dxa"/>
            <w:gridSpan w:val="2"/>
            <w:shd w:val="clear" w:color="auto" w:fill="auto"/>
          </w:tcPr>
          <w:p w14:paraId="7EDCCB36" w14:textId="20E5281F" w:rsidR="00AE2798" w:rsidRPr="000B66BC" w:rsidRDefault="00AE2798" w:rsidP="000B66BC">
            <w:pPr>
              <w:pStyle w:val="BodyText1"/>
              <w:spacing w:after="240"/>
              <w:rPr>
                <w:rFonts w:ascii="Times New Roman" w:hAnsi="Times New Roman"/>
                <w:bCs/>
                <w:sz w:val="24"/>
                <w:szCs w:val="24"/>
              </w:rPr>
            </w:pPr>
            <w:r>
              <w:rPr>
                <w:rFonts w:ascii="Times New Roman" w:hAnsi="Times New Roman"/>
                <w:sz w:val="24"/>
              </w:rPr>
              <w:t>{0010;0010}</w:t>
            </w:r>
          </w:p>
        </w:tc>
        <w:tc>
          <w:tcPr>
            <w:tcW w:w="7566" w:type="dxa"/>
            <w:shd w:val="clear" w:color="auto" w:fill="auto"/>
          </w:tcPr>
          <w:p w14:paraId="776CC56F" w14:textId="3D6EA3A4" w:rsidR="00AE2798" w:rsidRPr="000B66BC" w:rsidRDefault="00AE2798" w:rsidP="000B66BC">
            <w:pPr>
              <w:pStyle w:val="BodyText1"/>
              <w:spacing w:after="240" w:line="240" w:lineRule="auto"/>
              <w:rPr>
                <w:rFonts w:ascii="Times New Roman" w:hAnsi="Times New Roman"/>
                <w:b/>
                <w:bCs/>
                <w:sz w:val="24"/>
                <w:szCs w:val="24"/>
                <w:u w:val="single"/>
              </w:rPr>
            </w:pPr>
            <w:r>
              <w:rPr>
                <w:rFonts w:ascii="Times New Roman" w:hAnsi="Times New Roman"/>
                <w:b/>
                <w:sz w:val="24"/>
              </w:rPr>
              <w:t xml:space="preserve">VFD: Riska darījuma vērtība </w:t>
            </w:r>
          </w:p>
          <w:p w14:paraId="24BF7807" w14:textId="24D30A04" w:rsidR="00962812" w:rsidRPr="000B66BC" w:rsidRDefault="00962812" w:rsidP="000B66BC">
            <w:pPr>
              <w:pStyle w:val="BodyText1"/>
              <w:spacing w:after="240" w:line="240" w:lineRule="auto"/>
              <w:rPr>
                <w:rFonts w:ascii="Times New Roman" w:hAnsi="Times New Roman"/>
                <w:sz w:val="24"/>
                <w:szCs w:val="24"/>
              </w:rPr>
            </w:pPr>
            <w:r>
              <w:rPr>
                <w:rFonts w:ascii="Times New Roman" w:hAnsi="Times New Roman"/>
                <w:sz w:val="24"/>
              </w:rPr>
              <w:t>Regulas (ES) Nr. 575/2013 429.b panta 1. punkta b) apakšpunkts un 4. un 5. punkts</w:t>
            </w:r>
          </w:p>
          <w:p w14:paraId="4DADBAA1" w14:textId="4F33FF0A"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VFD riska darījumu vērtība, kas aprēķināta saskaņā ar Regulas (ES) Nr. 575/2013 429.b panta 1. punkta b) apakšpunktu un 4. un 5. punktu.</w:t>
            </w:r>
          </w:p>
          <w:p w14:paraId="7B519931" w14:textId="18CBF655"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Iestādes ņem vērā šajā šūnā darījumus saskaņā ar Regulas (ES) Nr. 575/2013 429.e panta 7. punkta c) apakšpunktu.</w:t>
            </w:r>
          </w:p>
          <w:p w14:paraId="2DB53AA1" w14:textId="46DA276A"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Šajā šūnā iestādes neiekļauj saņemto naudu vai jebkādu nodrošinājumu, kas sniegts darījuma partnerim, izmantojot iepriekš minētos darījumus, un paturēts bilancē (proti, nav izpildīti grāmatvedības kritēriji par atzīšanas pārtraukšanu). Tā vietā iestādes minētos posteņus iekļauj {0190;0010}.</w:t>
            </w:r>
          </w:p>
          <w:p w14:paraId="3B9A69FC" w14:textId="63B5CA3B" w:rsidR="00AE2798" w:rsidRPr="000B66BC" w:rsidRDefault="00AE2798" w:rsidP="000B66BC">
            <w:pPr>
              <w:pStyle w:val="BodyText1"/>
              <w:spacing w:after="240" w:line="240" w:lineRule="auto"/>
              <w:rPr>
                <w:rFonts w:ascii="Times New Roman" w:hAnsi="Times New Roman"/>
                <w:bCs/>
                <w:sz w:val="24"/>
                <w:szCs w:val="24"/>
                <w:u w:val="single"/>
              </w:rPr>
            </w:pPr>
            <w:r>
              <w:rPr>
                <w:rFonts w:ascii="Times New Roman" w:hAnsi="Times New Roman"/>
                <w:sz w:val="24"/>
              </w:rPr>
              <w:t>Šajā šūnā iestādes neiekļauj aģentu VFD, ja iestāde klientam vai darījuma partnerim sniedz kompensācijas garantiju vai saistību izpildes garantiju, kas ir klienta aizdotā vērtspapīra vai naudas vērtības un aizņēmēja sniegtā nodrošinājuma vērtības starpības robežās saskaņā ar Regulas (ES) Nr. 575/2013 429.e panta 7. punkta a) apakšpunktu.</w:t>
            </w:r>
          </w:p>
        </w:tc>
      </w:tr>
      <w:tr w:rsidR="00AE2798" w:rsidRPr="00E75BB8" w14:paraId="76B5A234" w14:textId="77777777" w:rsidTr="008979D2">
        <w:trPr>
          <w:trHeight w:val="304"/>
        </w:trPr>
        <w:tc>
          <w:tcPr>
            <w:tcW w:w="1555" w:type="dxa"/>
            <w:gridSpan w:val="2"/>
          </w:tcPr>
          <w:p w14:paraId="209FB7E2" w14:textId="457D2517" w:rsidR="00AE2798" w:rsidRPr="000B66BC" w:rsidRDefault="00AE2798" w:rsidP="000B66BC">
            <w:pPr>
              <w:pStyle w:val="BodyText1"/>
              <w:spacing w:after="240"/>
              <w:rPr>
                <w:rFonts w:ascii="Times New Roman" w:hAnsi="Times New Roman"/>
                <w:bCs/>
                <w:sz w:val="24"/>
                <w:szCs w:val="24"/>
              </w:rPr>
            </w:pPr>
            <w:r>
              <w:rPr>
                <w:rFonts w:ascii="Times New Roman" w:hAnsi="Times New Roman"/>
                <w:sz w:val="24"/>
              </w:rPr>
              <w:t>{0020;0010}</w:t>
            </w:r>
          </w:p>
        </w:tc>
        <w:tc>
          <w:tcPr>
            <w:tcW w:w="7566" w:type="dxa"/>
          </w:tcPr>
          <w:p w14:paraId="2A5E1E69" w14:textId="77777777" w:rsidR="00AE2798" w:rsidRPr="000B66BC" w:rsidRDefault="00AE2798" w:rsidP="000B66BC">
            <w:pPr>
              <w:pStyle w:val="BodyText1"/>
              <w:spacing w:after="240" w:line="240" w:lineRule="auto"/>
              <w:rPr>
                <w:rFonts w:ascii="Times New Roman" w:hAnsi="Times New Roman"/>
                <w:b/>
                <w:bCs/>
                <w:sz w:val="24"/>
                <w:szCs w:val="24"/>
              </w:rPr>
            </w:pPr>
            <w:r>
              <w:rPr>
                <w:rFonts w:ascii="Times New Roman" w:hAnsi="Times New Roman"/>
                <w:b/>
                <w:sz w:val="24"/>
              </w:rPr>
              <w:t>VFD: palielinājums darījuma partnera kredītriskam</w:t>
            </w:r>
          </w:p>
          <w:p w14:paraId="54D8230E" w14:textId="501C31D8" w:rsidR="00AE2798" w:rsidRPr="005A5E25"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Regulas (ES) Nr. 575/2013 429.e. panta 1. punkts.</w:t>
            </w:r>
          </w:p>
          <w:p w14:paraId="74373937" w14:textId="64B10156"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Palielinājums darījuma partnera kredītriska dēļ saistībā ar VFD, tostarp ārpusbilances, kas noteikts saskaņā ar Regulas (ES) Nr. 575/2013 429.e panta attiecīgi 2. vai 3. un 4. punktu.</w:t>
            </w:r>
          </w:p>
          <w:p w14:paraId="22B58EAB" w14:textId="758D2039"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Šajā šūnā iestādes ņem vērā darījumus saskaņā ar Regulas (ES) Nr. 575/2013 429.e panta 7. punkta c) apakšpunktu.</w:t>
            </w:r>
          </w:p>
          <w:p w14:paraId="68CF607E" w14:textId="421A1EB2"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Šajā šūnā iestādes neiekļauj aģentu VFD, ja iestāde klientam vai darījuma partnerim sniedz kompensācijas garantiju vai saistību izpildes garantiju, kas ir klienta aizdotā vērtspapīra vai naudas vērtības un aizņēmēja sniegtā nodrošinājuma vērtības starpības robežās saskaņā ar Regulas (ES) Nr. 575/2013 429.e panta 7. punkta a) apakšpunktu. Tā vietā iestādes minētos posteņus iekļauj {0040;0010}.</w:t>
            </w:r>
          </w:p>
        </w:tc>
      </w:tr>
      <w:tr w:rsidR="00AE2798" w:rsidRPr="00E75BB8" w14:paraId="0276DE00" w14:textId="77777777" w:rsidTr="008979D2">
        <w:trPr>
          <w:trHeight w:val="304"/>
        </w:trPr>
        <w:tc>
          <w:tcPr>
            <w:tcW w:w="1555" w:type="dxa"/>
            <w:gridSpan w:val="2"/>
          </w:tcPr>
          <w:p w14:paraId="311C9C54" w14:textId="6BFA55DF" w:rsidR="00AE2798" w:rsidRPr="000B66BC" w:rsidRDefault="00AE2798" w:rsidP="000B66BC">
            <w:pPr>
              <w:pStyle w:val="BodyText1"/>
              <w:spacing w:after="240"/>
              <w:rPr>
                <w:rFonts w:ascii="Times New Roman" w:hAnsi="Times New Roman"/>
                <w:bCs/>
                <w:sz w:val="24"/>
                <w:szCs w:val="24"/>
              </w:rPr>
            </w:pPr>
            <w:r>
              <w:rPr>
                <w:rFonts w:ascii="Times New Roman" w:hAnsi="Times New Roman"/>
                <w:sz w:val="24"/>
              </w:rPr>
              <w:t>{0030;0010}</w:t>
            </w:r>
          </w:p>
          <w:p w14:paraId="31A60AAC" w14:textId="77777777" w:rsidR="00AE2798" w:rsidRPr="000B66BC" w:rsidRDefault="00AE2798" w:rsidP="000B66BC">
            <w:pPr>
              <w:pStyle w:val="BodyText1"/>
              <w:spacing w:after="240"/>
              <w:rPr>
                <w:rFonts w:ascii="Times New Roman" w:hAnsi="Times New Roman"/>
                <w:bCs/>
                <w:sz w:val="24"/>
                <w:szCs w:val="24"/>
              </w:rPr>
            </w:pPr>
          </w:p>
        </w:tc>
        <w:tc>
          <w:tcPr>
            <w:tcW w:w="7566" w:type="dxa"/>
          </w:tcPr>
          <w:p w14:paraId="49F43F40" w14:textId="6B3311A4" w:rsidR="00AE2798" w:rsidRPr="000B66BC" w:rsidRDefault="00AE2798" w:rsidP="000B66BC">
            <w:pPr>
              <w:pStyle w:val="BodyText1"/>
              <w:spacing w:after="240" w:line="240" w:lineRule="auto"/>
              <w:rPr>
                <w:rFonts w:ascii="Times New Roman" w:hAnsi="Times New Roman"/>
                <w:b/>
                <w:bCs/>
                <w:sz w:val="24"/>
                <w:szCs w:val="24"/>
              </w:rPr>
            </w:pPr>
            <w:r>
              <w:rPr>
                <w:rFonts w:ascii="Times New Roman" w:hAnsi="Times New Roman"/>
                <w:b/>
                <w:sz w:val="24"/>
              </w:rPr>
              <w:lastRenderedPageBreak/>
              <w:t>Atkāpe attiecībā uz VFD: palielinājums saskaņā ar KPR 429.e panta 5. punktu un 222. pantu</w:t>
            </w:r>
          </w:p>
          <w:p w14:paraId="2D39F187" w14:textId="7F187365"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Regulas (ES) Nr. 575/2013 429.e panta 5. punkts un 222. pants.</w:t>
            </w:r>
          </w:p>
          <w:p w14:paraId="738B5B54" w14:textId="680FD6A3"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 xml:space="preserve">Riska darījumu vērtība VFD, tostarp ārpusbilances, kas aprēķināta saskaņā ar Regulas (ES) Nr. 575/2013 222. pantu, piemērojot 20 % minimumu attiecībā uz piemērojamo riska svērumu. </w:t>
            </w:r>
          </w:p>
          <w:p w14:paraId="3D5D2C18" w14:textId="42AA0940"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Šajā šūnā iestādes ņem vērā darījumus saskaņā ar Regulas (ES) Nr. 575/2013 429.e panta 7. punkta c) apakšpunktu.</w:t>
            </w:r>
          </w:p>
          <w:p w14:paraId="29AD8FEA" w14:textId="1031B485"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Šajā šūnā iestādes neņem vērā darījumus, kuriem sviras rādītāja riska darījumu vērtības palielinājuma daļu nosaka saskaņā ar Regulas (ES) Nr. 575/2013 429.e panta 1. punktā minēto metodi.</w:t>
            </w:r>
          </w:p>
        </w:tc>
      </w:tr>
      <w:tr w:rsidR="00AE2798" w:rsidRPr="00E75BB8" w14:paraId="5E04553E" w14:textId="77777777" w:rsidTr="008979D2">
        <w:trPr>
          <w:trHeight w:val="304"/>
        </w:trPr>
        <w:tc>
          <w:tcPr>
            <w:tcW w:w="1555" w:type="dxa"/>
            <w:gridSpan w:val="2"/>
          </w:tcPr>
          <w:p w14:paraId="252F5F3F" w14:textId="40B73EF4" w:rsidR="00AE2798" w:rsidRPr="000B66BC" w:rsidRDefault="00AE2798" w:rsidP="000B66BC">
            <w:pPr>
              <w:pStyle w:val="BodyText1"/>
              <w:spacing w:after="240"/>
              <w:rPr>
                <w:rFonts w:ascii="Times New Roman" w:hAnsi="Times New Roman"/>
                <w:bCs/>
                <w:sz w:val="24"/>
                <w:szCs w:val="24"/>
              </w:rPr>
            </w:pPr>
            <w:r>
              <w:rPr>
                <w:rFonts w:ascii="Times New Roman" w:hAnsi="Times New Roman"/>
                <w:sz w:val="24"/>
              </w:rPr>
              <w:lastRenderedPageBreak/>
              <w:t>{0040;0010}</w:t>
            </w:r>
          </w:p>
        </w:tc>
        <w:tc>
          <w:tcPr>
            <w:tcW w:w="7566" w:type="dxa"/>
          </w:tcPr>
          <w:p w14:paraId="2565C50A" w14:textId="2E53ED69"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
                <w:sz w:val="24"/>
              </w:rPr>
              <w:t xml:space="preserve">Darījuma partnera kredītrisks attiecībā uz aģentu VFD </w:t>
            </w:r>
          </w:p>
          <w:p w14:paraId="475F166E" w14:textId="5DE704BE" w:rsidR="00E1045E" w:rsidRPr="000B66BC" w:rsidRDefault="00E1045E" w:rsidP="000B66BC">
            <w:pPr>
              <w:pStyle w:val="BodyText1"/>
              <w:spacing w:after="240" w:line="240" w:lineRule="auto"/>
              <w:rPr>
                <w:rFonts w:ascii="Times New Roman" w:hAnsi="Times New Roman"/>
                <w:bCs/>
                <w:sz w:val="24"/>
                <w:szCs w:val="24"/>
              </w:rPr>
            </w:pPr>
            <w:r>
              <w:rPr>
                <w:rFonts w:ascii="Times New Roman" w:hAnsi="Times New Roman"/>
                <w:sz w:val="24"/>
              </w:rPr>
              <w:t>Regulas (ES) Nr. 575/2013 429.e panta 7. punkta a) apakšpunkts un 2. un 3. punkts</w:t>
            </w:r>
          </w:p>
          <w:p w14:paraId="1619B100" w14:textId="611A2DCA"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Riska darījumu vērtību aģentu VFD, ja iestāde klientam vai darījuma partnerim sniedz kompensācijas garantiju vai saistību izpildes garantiju, kas ir klienta aizdotā vērtspapīra vai naudas vērtības un aizņēmēja sniegtā nodrošinājuma vērtības starpības robežās saskaņā ar Regulas (ES) Nr. 575/2013 429.e panta 7. punkta a) apakšpunktu, veido vienīgi palielinājums, kas noteikts saskaņā ar Regulas (ES) Nr. 575/2013 429.e panta attiecīgi 2. vai 3. punktu.</w:t>
            </w:r>
          </w:p>
          <w:p w14:paraId="138E8801" w14:textId="61A2D011"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Attiecībā uz šajā šūnā uzrādāmajiem darījumiem iestādes neņem vērā KPR 429.e panta 7. punkta c) apakšpunktu. Tā vietā iestādes minētos posteņus iekļauj attiecīgi {0010;0010} un {0020;0010} vai {0010;0010} un {0030;0010}.</w:t>
            </w:r>
          </w:p>
        </w:tc>
      </w:tr>
      <w:tr w:rsidR="00AE2798" w:rsidRPr="00E75BB8" w14:paraId="730C9B47" w14:textId="77777777" w:rsidTr="008979D2">
        <w:trPr>
          <w:trHeight w:val="304"/>
        </w:trPr>
        <w:tc>
          <w:tcPr>
            <w:tcW w:w="1555" w:type="dxa"/>
            <w:gridSpan w:val="2"/>
          </w:tcPr>
          <w:p w14:paraId="67472548" w14:textId="3E8951DA" w:rsidR="00AE2798" w:rsidRPr="000B66BC" w:rsidRDefault="00AE2798" w:rsidP="000B66BC">
            <w:pPr>
              <w:pStyle w:val="BodyText1"/>
              <w:spacing w:after="240"/>
              <w:rPr>
                <w:rFonts w:ascii="Times New Roman" w:hAnsi="Times New Roman"/>
                <w:bCs/>
                <w:sz w:val="24"/>
                <w:szCs w:val="24"/>
              </w:rPr>
            </w:pPr>
            <w:r>
              <w:rPr>
                <w:rFonts w:ascii="Times New Roman" w:hAnsi="Times New Roman"/>
                <w:sz w:val="24"/>
              </w:rPr>
              <w:t>{0050;0010}</w:t>
            </w:r>
          </w:p>
        </w:tc>
        <w:tc>
          <w:tcPr>
            <w:tcW w:w="7566" w:type="dxa"/>
          </w:tcPr>
          <w:p w14:paraId="2F6E1B5E" w14:textId="77777777" w:rsidR="00AE2798" w:rsidRPr="000B66BC" w:rsidRDefault="005556DC" w:rsidP="000B66BC">
            <w:pPr>
              <w:pStyle w:val="BodyText1"/>
              <w:spacing w:after="240" w:line="240" w:lineRule="auto"/>
              <w:rPr>
                <w:rFonts w:ascii="Times New Roman" w:hAnsi="Times New Roman"/>
                <w:bCs/>
                <w:sz w:val="24"/>
                <w:szCs w:val="24"/>
              </w:rPr>
            </w:pPr>
            <w:r>
              <w:rPr>
                <w:rFonts w:ascii="Times New Roman" w:hAnsi="Times New Roman"/>
                <w:b/>
                <w:sz w:val="24"/>
              </w:rPr>
              <w:t xml:space="preserve">(–) Atbrīvotā </w:t>
            </w:r>
            <w:r>
              <w:rPr>
                <w:rFonts w:ascii="Times New Roman" w:hAnsi="Times New Roman"/>
                <w:b/>
                <w:i/>
                <w:iCs/>
                <w:sz w:val="24"/>
              </w:rPr>
              <w:t>CCP</w:t>
            </w:r>
            <w:r>
              <w:rPr>
                <w:rFonts w:ascii="Times New Roman" w:hAnsi="Times New Roman"/>
                <w:b/>
                <w:sz w:val="24"/>
              </w:rPr>
              <w:t xml:space="preserve"> daļa VFD riska darījumos ar klientu veiktu </w:t>
            </w:r>
            <w:proofErr w:type="spellStart"/>
            <w:r>
              <w:rPr>
                <w:rFonts w:ascii="Times New Roman" w:hAnsi="Times New Roman"/>
                <w:b/>
                <w:sz w:val="24"/>
              </w:rPr>
              <w:t>tīrvērti</w:t>
            </w:r>
            <w:proofErr w:type="spellEnd"/>
          </w:p>
          <w:p w14:paraId="1B6574CC" w14:textId="445B8DBB" w:rsidR="00AE2798" w:rsidRPr="000B66BC" w:rsidRDefault="00E1045E" w:rsidP="000B66BC">
            <w:pPr>
              <w:pStyle w:val="BodyText1"/>
              <w:spacing w:after="240" w:line="240" w:lineRule="auto"/>
              <w:rPr>
                <w:rFonts w:ascii="Times New Roman" w:hAnsi="Times New Roman"/>
                <w:bCs/>
                <w:sz w:val="24"/>
                <w:szCs w:val="24"/>
              </w:rPr>
            </w:pPr>
            <w:r>
              <w:rPr>
                <w:rFonts w:ascii="Times New Roman" w:hAnsi="Times New Roman"/>
                <w:sz w:val="24"/>
              </w:rPr>
              <w:t>Regulas (ES) Nr. 575/2013 429.a panta 1. punkta g) apakšpunkts un 306. panta 1. punkta c) apakšpunkts</w:t>
            </w:r>
          </w:p>
          <w:p w14:paraId="5E6D8E3F" w14:textId="07590645"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 xml:space="preserve">Atbrīvotā </w:t>
            </w:r>
            <w:r>
              <w:rPr>
                <w:rFonts w:ascii="Times New Roman" w:hAnsi="Times New Roman"/>
                <w:i/>
                <w:iCs/>
                <w:sz w:val="24"/>
              </w:rPr>
              <w:t>CCP</w:t>
            </w:r>
            <w:r>
              <w:rPr>
                <w:rFonts w:ascii="Times New Roman" w:hAnsi="Times New Roman"/>
                <w:sz w:val="24"/>
              </w:rPr>
              <w:t xml:space="preserve"> daļa VFD tirdzniecības riska darījumos ar klientu veiktu </w:t>
            </w:r>
            <w:proofErr w:type="spellStart"/>
            <w:r>
              <w:rPr>
                <w:rFonts w:ascii="Times New Roman" w:hAnsi="Times New Roman"/>
                <w:sz w:val="24"/>
              </w:rPr>
              <w:t>tīrvērti</w:t>
            </w:r>
            <w:proofErr w:type="spellEnd"/>
            <w:r>
              <w:rPr>
                <w:rFonts w:ascii="Times New Roman" w:hAnsi="Times New Roman"/>
                <w:sz w:val="24"/>
              </w:rPr>
              <w:t>, ar nosacījumu, ka posteņi atbilst nosacījumiem, kas paredzēti Regulas (ES) Nr. 575/2013 306. panta 1. punkta c) apakšpunktā.</w:t>
            </w:r>
          </w:p>
          <w:p w14:paraId="39011247" w14:textId="7D52358B" w:rsidR="004052F0" w:rsidRPr="000B66BC" w:rsidRDefault="004052F0" w:rsidP="000B66BC">
            <w:pPr>
              <w:pStyle w:val="BodyText1"/>
              <w:spacing w:after="240" w:line="240" w:lineRule="auto"/>
              <w:rPr>
                <w:rFonts w:ascii="Times New Roman" w:hAnsi="Times New Roman"/>
                <w:bCs/>
                <w:sz w:val="24"/>
                <w:szCs w:val="24"/>
              </w:rPr>
            </w:pPr>
            <w:r>
              <w:rPr>
                <w:rFonts w:ascii="Times New Roman" w:hAnsi="Times New Roman"/>
                <w:sz w:val="24"/>
              </w:rPr>
              <w:t xml:space="preserve">Ja sviras rādītājā neietvertais darījums ar </w:t>
            </w:r>
            <w:r>
              <w:rPr>
                <w:rFonts w:ascii="Times New Roman" w:hAnsi="Times New Roman"/>
                <w:i/>
                <w:iCs/>
                <w:sz w:val="24"/>
              </w:rPr>
              <w:t>CCP</w:t>
            </w:r>
            <w:r>
              <w:rPr>
                <w:rFonts w:ascii="Times New Roman" w:hAnsi="Times New Roman"/>
                <w:sz w:val="24"/>
              </w:rPr>
              <w:t xml:space="preserve"> ir vērtspapīrs, to neuzrāda šajā šūnā, izņemot, ja tas ir pārķīlāts vērtspapīrs, kas saskaņā ar piemērojamo grāmatvedības regulējumu (t.i., saskaņā ar Regulas (ES) Nr. 575/2013 111. panta 1. punkta pirmo teikumu) ir ietverts tā pilnā vērtībā.</w:t>
            </w:r>
          </w:p>
          <w:p w14:paraId="0885E19A" w14:textId="55DD0357" w:rsidR="00AF6C6D" w:rsidRPr="000B66BC" w:rsidRDefault="005A1D6D" w:rsidP="000B66BC">
            <w:pPr>
              <w:pStyle w:val="BodyText1"/>
              <w:spacing w:after="240" w:line="240" w:lineRule="auto"/>
              <w:rPr>
                <w:rFonts w:ascii="Times New Roman" w:hAnsi="Times New Roman"/>
                <w:bCs/>
                <w:sz w:val="24"/>
                <w:szCs w:val="24"/>
              </w:rPr>
            </w:pPr>
            <w:r>
              <w:rPr>
                <w:rFonts w:ascii="Times New Roman" w:hAnsi="Times New Roman"/>
                <w:sz w:val="24"/>
              </w:rPr>
              <w:t>Iestādes šajā šūnā uzrādīto summu iekļauj arī {0010;0010}, {0020;0010} un {0030;0010} tā, it kā atbrīvojums nebūtu piemērojams, un, ja runa ir par pārķīlātu vērtspapīru, kas saskaņā ar piemērojamo grāmatvedības regulējumu ir iekļauts pēc pilnas vērtības, papildus arī šūnā {0190;0010}.</w:t>
            </w:r>
          </w:p>
          <w:p w14:paraId="2D82192D" w14:textId="03F34C36" w:rsidR="00AE2798" w:rsidRPr="000B66BC" w:rsidRDefault="00AF6C6D"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Ja iestāde VFD atbrīvotajai daļai ir sniegusi sākotnējo drošības rezervi, kas uzrādīta {0190;0010} un nav uzrādīta {0020;0010} vai {0030;0010}, iestāde to var uzrādīt šajā šūnā.</w:t>
            </w:r>
          </w:p>
        </w:tc>
      </w:tr>
      <w:tr w:rsidR="00AA0445" w:rsidRPr="00E75BB8" w14:paraId="22358CE2" w14:textId="77777777" w:rsidTr="008979D2">
        <w:trPr>
          <w:trHeight w:val="304"/>
        </w:trPr>
        <w:tc>
          <w:tcPr>
            <w:tcW w:w="1555" w:type="dxa"/>
            <w:gridSpan w:val="2"/>
            <w:tcBorders>
              <w:bottom w:val="single" w:sz="4" w:space="0" w:color="auto"/>
            </w:tcBorders>
          </w:tcPr>
          <w:p w14:paraId="45ADDB05" w14:textId="0401F47D" w:rsidR="00AE3377" w:rsidRPr="000B66BC" w:rsidRDefault="00AE3377" w:rsidP="000B66BC">
            <w:pPr>
              <w:pStyle w:val="BodyText1"/>
              <w:spacing w:after="240"/>
              <w:rPr>
                <w:rFonts w:ascii="Times New Roman" w:hAnsi="Times New Roman"/>
                <w:bCs/>
                <w:sz w:val="24"/>
                <w:szCs w:val="24"/>
              </w:rPr>
            </w:pPr>
            <w:r>
              <w:rPr>
                <w:rFonts w:ascii="Times New Roman" w:hAnsi="Times New Roman"/>
                <w:sz w:val="24"/>
              </w:rPr>
              <w:lastRenderedPageBreak/>
              <w:t>{0061;0010}</w:t>
            </w:r>
          </w:p>
          <w:p w14:paraId="39B81BC5" w14:textId="77777777" w:rsidR="00AE3377" w:rsidRPr="000B66BC" w:rsidRDefault="00AE3377" w:rsidP="000B66BC">
            <w:pPr>
              <w:pStyle w:val="BodyText1"/>
              <w:spacing w:after="240"/>
              <w:rPr>
                <w:rFonts w:ascii="Times New Roman" w:hAnsi="Times New Roman"/>
                <w:bCs/>
                <w:sz w:val="24"/>
                <w:szCs w:val="24"/>
              </w:rPr>
            </w:pPr>
          </w:p>
          <w:p w14:paraId="670E1CF2" w14:textId="77777777" w:rsidR="00AA0445" w:rsidRPr="000B66BC" w:rsidRDefault="00AA0445" w:rsidP="000B66BC">
            <w:pPr>
              <w:pStyle w:val="BodyText1"/>
              <w:spacing w:after="240"/>
              <w:rPr>
                <w:rFonts w:ascii="Times New Roman" w:hAnsi="Times New Roman"/>
                <w:bCs/>
                <w:sz w:val="24"/>
                <w:szCs w:val="24"/>
              </w:rPr>
            </w:pPr>
          </w:p>
        </w:tc>
        <w:tc>
          <w:tcPr>
            <w:tcW w:w="7566" w:type="dxa"/>
            <w:tcBorders>
              <w:bottom w:val="single" w:sz="4" w:space="0" w:color="auto"/>
            </w:tcBorders>
          </w:tcPr>
          <w:p w14:paraId="23795B97" w14:textId="5A0D0C24" w:rsidR="00AE3377" w:rsidRPr="000B66BC" w:rsidRDefault="00AE3377" w:rsidP="000B66BC">
            <w:pPr>
              <w:pStyle w:val="BodyText1"/>
              <w:spacing w:after="240" w:line="240" w:lineRule="auto"/>
              <w:rPr>
                <w:rFonts w:ascii="Times New Roman" w:hAnsi="Times New Roman"/>
                <w:bCs/>
                <w:sz w:val="24"/>
                <w:szCs w:val="24"/>
              </w:rPr>
            </w:pPr>
            <w:r>
              <w:rPr>
                <w:rFonts w:ascii="Times New Roman" w:hAnsi="Times New Roman"/>
                <w:b/>
                <w:sz w:val="24"/>
              </w:rPr>
              <w:t xml:space="preserve">Atvasinātie instrumenti: aizvietošanas vērtības komponents saskaņā ar </w:t>
            </w:r>
            <w:r>
              <w:rPr>
                <w:rFonts w:ascii="Times New Roman" w:hAnsi="Times New Roman"/>
                <w:b/>
                <w:i/>
                <w:iCs/>
                <w:sz w:val="24"/>
              </w:rPr>
              <w:t>SA-CCR</w:t>
            </w:r>
            <w:r>
              <w:rPr>
                <w:rFonts w:ascii="Times New Roman" w:hAnsi="Times New Roman"/>
                <w:b/>
                <w:sz w:val="24"/>
              </w:rPr>
              <w:t xml:space="preserve"> (bez nodrošinājuma ietekmes uz </w:t>
            </w:r>
            <w:r>
              <w:rPr>
                <w:rFonts w:ascii="Times New Roman" w:hAnsi="Times New Roman"/>
                <w:b/>
                <w:i/>
                <w:iCs/>
                <w:sz w:val="24"/>
              </w:rPr>
              <w:t>NICA</w:t>
            </w:r>
            <w:r>
              <w:rPr>
                <w:rFonts w:ascii="Times New Roman" w:hAnsi="Times New Roman"/>
                <w:b/>
                <w:sz w:val="24"/>
              </w:rPr>
              <w:t xml:space="preserve">) </w:t>
            </w:r>
          </w:p>
          <w:p w14:paraId="303004A2" w14:textId="377F9233" w:rsidR="00AA0445" w:rsidRPr="00D51F9E" w:rsidRDefault="00AA0445" w:rsidP="000B66BC">
            <w:pPr>
              <w:pStyle w:val="BodyText1"/>
              <w:spacing w:after="240" w:line="240" w:lineRule="auto"/>
              <w:rPr>
                <w:rFonts w:ascii="Times New Roman" w:hAnsi="Times New Roman"/>
                <w:bCs/>
                <w:sz w:val="24"/>
                <w:szCs w:val="24"/>
              </w:rPr>
            </w:pPr>
            <w:r>
              <w:rPr>
                <w:rFonts w:ascii="Times New Roman" w:hAnsi="Times New Roman"/>
                <w:sz w:val="24"/>
              </w:rPr>
              <w:t>Regulas (ES) Nr. 575/2013 429.c panta 1. punkts.</w:t>
            </w:r>
          </w:p>
          <w:p w14:paraId="3B8148BD" w14:textId="4F445033" w:rsidR="000864F6" w:rsidRPr="000B66BC" w:rsidRDefault="004E204E" w:rsidP="000B66BC">
            <w:pPr>
              <w:pStyle w:val="BodyText1"/>
              <w:spacing w:after="240" w:line="240" w:lineRule="auto"/>
              <w:rPr>
                <w:rFonts w:ascii="Times New Roman" w:hAnsi="Times New Roman"/>
                <w:bCs/>
                <w:sz w:val="24"/>
                <w:szCs w:val="24"/>
              </w:rPr>
            </w:pPr>
            <w:r>
              <w:rPr>
                <w:rFonts w:ascii="Times New Roman" w:hAnsi="Times New Roman"/>
                <w:sz w:val="24"/>
              </w:rPr>
              <w:t xml:space="preserve">Aizvietošanas vērtība saskaņā ar Regulas (ES) Nr. 575/2013 275. pantu bez nodrošinājuma ietekmes uz </w:t>
            </w:r>
            <w:r>
              <w:rPr>
                <w:rFonts w:ascii="Times New Roman" w:hAnsi="Times New Roman"/>
                <w:i/>
                <w:iCs/>
                <w:sz w:val="24"/>
              </w:rPr>
              <w:t>NICA</w:t>
            </w:r>
            <w:r>
              <w:rPr>
                <w:rFonts w:ascii="Times New Roman" w:hAnsi="Times New Roman"/>
                <w:sz w:val="24"/>
              </w:rPr>
              <w:t xml:space="preserve"> un bez mainīgās drošības rezerves ietekmes. Šīs šūnas vajadzībām iestādes nepiemēro Regulas (ES) Nr. 575/2013 429.c panta 3. un 4. punktā un 429.a panta 1. punkta g) apakšpunktā paredzētās atkāpes. Šo summu uzrāda ar 1,4 alfa faktoru, ko piemēro, kā norādīts Regulas (ES) Nr. 575/2013 274. panta 2. punktā.</w:t>
            </w:r>
          </w:p>
          <w:p w14:paraId="69D03BFF" w14:textId="7C94597B" w:rsidR="000864F6" w:rsidRDefault="000864F6" w:rsidP="000B66BC">
            <w:pPr>
              <w:pStyle w:val="BodyText1"/>
              <w:spacing w:after="240" w:line="240" w:lineRule="auto"/>
              <w:rPr>
                <w:rFonts w:ascii="Times New Roman" w:hAnsi="Times New Roman"/>
                <w:bCs/>
                <w:sz w:val="24"/>
                <w:szCs w:val="24"/>
              </w:rPr>
            </w:pPr>
            <w:r>
              <w:rPr>
                <w:rFonts w:ascii="Times New Roman" w:hAnsi="Times New Roman"/>
                <w:sz w:val="24"/>
              </w:rPr>
              <w:t>Kā noteikts Regulas (ES) Nr. 575/2013 429.c panta 1. punktā, iestādes var arī ņemt vērā ietekmi, ko rada pārjaunojuma līgumi un citi savstarpējā ieskaita līgumi saskaņā ar Regulas (ES) Nr. 575/2013 295. pantu. Dažādu produktu savstarpējo prasījumu ieskaitu nepiemēro. Tomēr iestādes var veikt savstarpējo ieskaitu Regulas (ES) Nr. 575/2013 272. panta 25. punkta c) apakšpunktā minētās produktu kategorijas ietvaros un kredītu atvasinātajiem instrumentiem, ja uz tiem attiecas dažādu produktu savstarpējo prasījumu līgumiskā ieskaita līgums, kā minēts Regulas (ES) Nr. 575/2013 295. panta c) apakšpunktā.</w:t>
            </w:r>
          </w:p>
          <w:p w14:paraId="68582320" w14:textId="76F97D55" w:rsidR="00AA0445" w:rsidRPr="000B66BC" w:rsidRDefault="000864F6" w:rsidP="000B66BC">
            <w:pPr>
              <w:pStyle w:val="BodyText1"/>
              <w:spacing w:after="240" w:line="240" w:lineRule="auto"/>
              <w:rPr>
                <w:rFonts w:ascii="Times New Roman" w:hAnsi="Times New Roman"/>
                <w:bCs/>
                <w:sz w:val="24"/>
                <w:szCs w:val="24"/>
              </w:rPr>
            </w:pPr>
            <w:r>
              <w:rPr>
                <w:rFonts w:ascii="Times New Roman" w:hAnsi="Times New Roman"/>
                <w:sz w:val="24"/>
              </w:rPr>
              <w:t>Iestādes ietver visus kredītu atvasinātos instrumentus, ne tikai tos, kas iekļauti tirdzniecības portfelī.</w:t>
            </w:r>
          </w:p>
          <w:p w14:paraId="2DFB7147" w14:textId="5C4A2661" w:rsidR="00AA0445" w:rsidRPr="000B66BC" w:rsidRDefault="008C451E" w:rsidP="000B66BC">
            <w:pPr>
              <w:pStyle w:val="BodyText1"/>
              <w:spacing w:after="240" w:line="240" w:lineRule="auto"/>
              <w:rPr>
                <w:rFonts w:ascii="Times New Roman" w:hAnsi="Times New Roman"/>
                <w:b/>
                <w:sz w:val="24"/>
                <w:szCs w:val="24"/>
              </w:rPr>
            </w:pPr>
            <w:r>
              <w:rPr>
                <w:rFonts w:ascii="Times New Roman" w:hAnsi="Times New Roman"/>
                <w:sz w:val="24"/>
              </w:rPr>
              <w:t>Šajā šūnā iestādes neņem vērā līgumus, kas novērtēti, piemērojot vienkāršoto standartizēto pieeju vai sākotnējās riska darījuma vērtības metodi.</w:t>
            </w:r>
          </w:p>
        </w:tc>
      </w:tr>
      <w:tr w:rsidR="00AA0445" w:rsidRPr="00E75BB8" w14:paraId="6839640F" w14:textId="77777777" w:rsidTr="008979D2">
        <w:trPr>
          <w:trHeight w:val="304"/>
        </w:trPr>
        <w:tc>
          <w:tcPr>
            <w:tcW w:w="1555" w:type="dxa"/>
            <w:gridSpan w:val="2"/>
            <w:tcBorders>
              <w:bottom w:val="single" w:sz="4" w:space="0" w:color="auto"/>
            </w:tcBorders>
          </w:tcPr>
          <w:p w14:paraId="7B6A76A4" w14:textId="48C3F797" w:rsidR="00AE3377" w:rsidRPr="000B66BC" w:rsidRDefault="00AE3377" w:rsidP="000B66BC">
            <w:pPr>
              <w:pStyle w:val="BodyText1"/>
              <w:spacing w:after="240"/>
              <w:rPr>
                <w:rFonts w:ascii="Times New Roman" w:hAnsi="Times New Roman"/>
                <w:bCs/>
                <w:sz w:val="24"/>
                <w:szCs w:val="24"/>
              </w:rPr>
            </w:pPr>
            <w:r>
              <w:rPr>
                <w:rFonts w:ascii="Times New Roman" w:hAnsi="Times New Roman"/>
                <w:sz w:val="24"/>
              </w:rPr>
              <w:t>{0065;0010}</w:t>
            </w:r>
          </w:p>
          <w:p w14:paraId="3E5668CA" w14:textId="77777777" w:rsidR="00AE3377" w:rsidRPr="000B66BC" w:rsidRDefault="00AE3377" w:rsidP="000B66BC">
            <w:pPr>
              <w:pStyle w:val="BodyText1"/>
              <w:spacing w:after="240"/>
              <w:rPr>
                <w:rFonts w:ascii="Times New Roman" w:hAnsi="Times New Roman"/>
                <w:bCs/>
                <w:sz w:val="24"/>
                <w:szCs w:val="24"/>
              </w:rPr>
            </w:pPr>
          </w:p>
          <w:p w14:paraId="13FEE6ED" w14:textId="77777777" w:rsidR="00AA0445" w:rsidRPr="000B66BC" w:rsidRDefault="00AA0445"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4EDC7E6" w14:textId="3E0D75A1" w:rsidR="00AE3377" w:rsidRPr="000B66BC" w:rsidRDefault="00AE3377"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 Nodrošinājuma atzīšanas ietekme uz </w:t>
            </w:r>
            <w:r>
              <w:rPr>
                <w:rFonts w:ascii="Times New Roman" w:hAnsi="Times New Roman"/>
                <w:b/>
                <w:i/>
                <w:iCs/>
                <w:sz w:val="24"/>
              </w:rPr>
              <w:t>NICA</w:t>
            </w:r>
            <w:r>
              <w:rPr>
                <w:rFonts w:ascii="Times New Roman" w:hAnsi="Times New Roman"/>
                <w:b/>
                <w:sz w:val="24"/>
              </w:rPr>
              <w:t xml:space="preserve"> darījumos ar </w:t>
            </w:r>
            <w:r>
              <w:rPr>
                <w:rFonts w:ascii="Times New Roman" w:hAnsi="Times New Roman"/>
                <w:b/>
                <w:i/>
                <w:iCs/>
                <w:sz w:val="24"/>
              </w:rPr>
              <w:t>QCCP</w:t>
            </w:r>
            <w:r>
              <w:rPr>
                <w:rFonts w:ascii="Times New Roman" w:hAnsi="Times New Roman"/>
                <w:b/>
                <w:sz w:val="24"/>
              </w:rPr>
              <w:t xml:space="preserve"> kā klientu veiktu </w:t>
            </w:r>
            <w:proofErr w:type="spellStart"/>
            <w:r>
              <w:rPr>
                <w:rFonts w:ascii="Times New Roman" w:hAnsi="Times New Roman"/>
                <w:b/>
                <w:sz w:val="24"/>
              </w:rPr>
              <w:t>tīrvērti</w:t>
            </w:r>
            <w:proofErr w:type="spellEnd"/>
            <w:r>
              <w:rPr>
                <w:rFonts w:ascii="Times New Roman" w:hAnsi="Times New Roman"/>
                <w:b/>
                <w:sz w:val="24"/>
              </w:rPr>
              <w:t xml:space="preserve"> (</w:t>
            </w:r>
            <w:r>
              <w:rPr>
                <w:rFonts w:ascii="Times New Roman" w:hAnsi="Times New Roman"/>
                <w:b/>
                <w:i/>
                <w:iCs/>
                <w:sz w:val="24"/>
              </w:rPr>
              <w:t>SA-CCR</w:t>
            </w:r>
            <w:r>
              <w:rPr>
                <w:rFonts w:ascii="Times New Roman" w:hAnsi="Times New Roman"/>
                <w:b/>
                <w:sz w:val="24"/>
              </w:rPr>
              <w:t xml:space="preserve"> – aizvietošanas vērtība)</w:t>
            </w:r>
          </w:p>
          <w:p w14:paraId="4393A5C2" w14:textId="59905614" w:rsidR="00AA0445" w:rsidRPr="000B66BC" w:rsidRDefault="00AA0445" w:rsidP="000B66BC">
            <w:pPr>
              <w:pStyle w:val="BodyText1"/>
              <w:spacing w:after="240" w:line="240" w:lineRule="auto"/>
              <w:rPr>
                <w:rFonts w:ascii="Times New Roman" w:hAnsi="Times New Roman"/>
                <w:bCs/>
                <w:sz w:val="24"/>
                <w:szCs w:val="24"/>
              </w:rPr>
            </w:pPr>
            <w:r>
              <w:rPr>
                <w:rFonts w:ascii="Times New Roman" w:hAnsi="Times New Roman"/>
                <w:sz w:val="24"/>
              </w:rPr>
              <w:t>Regulas (ES) Nr. 575/2013 429.c panta 4. punkts un 4.a punkts</w:t>
            </w:r>
          </w:p>
          <w:p w14:paraId="5BDFEC31" w14:textId="28614318" w:rsidR="00AA0445" w:rsidRPr="000B66BC" w:rsidRDefault="00143A3F" w:rsidP="000B66BC">
            <w:pPr>
              <w:pStyle w:val="BodyText1"/>
              <w:spacing w:after="240" w:line="240" w:lineRule="auto"/>
              <w:rPr>
                <w:rFonts w:ascii="Times New Roman" w:hAnsi="Times New Roman"/>
                <w:bCs/>
                <w:sz w:val="24"/>
                <w:szCs w:val="24"/>
              </w:rPr>
            </w:pPr>
            <w:r>
              <w:rPr>
                <w:rFonts w:ascii="Times New Roman" w:hAnsi="Times New Roman"/>
                <w:sz w:val="24"/>
              </w:rPr>
              <w:t xml:space="preserve">Regulas (ES) Nr. 575/2013 429.c panta 4. punktā paredzētās atkāpes piemērošana kopā ar 429.c panta 4.a punktu attiecībā uz aizvietošanas vērtības aprēķinu atvasināto instrumentu līgumiem ar klientiem, ja šiem līgumiem </w:t>
            </w:r>
            <w:proofErr w:type="spellStart"/>
            <w:r>
              <w:rPr>
                <w:rFonts w:ascii="Times New Roman" w:hAnsi="Times New Roman"/>
                <w:sz w:val="24"/>
              </w:rPr>
              <w:t>tīrvērti</w:t>
            </w:r>
            <w:proofErr w:type="spellEnd"/>
            <w:r>
              <w:rPr>
                <w:rFonts w:ascii="Times New Roman" w:hAnsi="Times New Roman"/>
                <w:sz w:val="24"/>
              </w:rPr>
              <w:t xml:space="preserve"> veic </w:t>
            </w:r>
            <w:r>
              <w:rPr>
                <w:rFonts w:ascii="Times New Roman" w:hAnsi="Times New Roman"/>
                <w:i/>
                <w:iCs/>
                <w:sz w:val="24"/>
              </w:rPr>
              <w:t>QCCP</w:t>
            </w:r>
            <w:r>
              <w:rPr>
                <w:rFonts w:ascii="Times New Roman" w:hAnsi="Times New Roman"/>
                <w:sz w:val="24"/>
              </w:rPr>
              <w:t>. Šo summu uzrāda ar 1,4 alfa faktoru, ko piemēro, kā norādīts Regulas (ES) Nr. 575/2013 274. panta 2. punktā.</w:t>
            </w:r>
          </w:p>
          <w:p w14:paraId="71B5D857" w14:textId="15F17BCC" w:rsidR="00860608" w:rsidRPr="000B66BC" w:rsidRDefault="00C622B3" w:rsidP="000B66BC">
            <w:pPr>
              <w:pStyle w:val="BodyText1"/>
              <w:spacing w:after="240" w:line="240" w:lineRule="auto"/>
              <w:rPr>
                <w:rFonts w:ascii="Times New Roman" w:hAnsi="Times New Roman"/>
                <w:bCs/>
                <w:sz w:val="24"/>
                <w:szCs w:val="24"/>
              </w:rPr>
            </w:pPr>
            <w:r>
              <w:rPr>
                <w:rFonts w:ascii="Times New Roman" w:hAnsi="Times New Roman"/>
                <w:sz w:val="24"/>
              </w:rPr>
              <w:t>Šajā šūnā uzrādīto summu iestādes iekļauj arī {0061;0010} tā, it kā atkāpe nebūtu piemērojama.</w:t>
            </w:r>
          </w:p>
        </w:tc>
      </w:tr>
      <w:tr w:rsidR="00B451A5" w:rsidRPr="00E75BB8" w14:paraId="708471F4"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4BC05902" w14:textId="77777777" w:rsidR="00B451A5" w:rsidRPr="000B66BC" w:rsidRDefault="00B451A5" w:rsidP="000B66BC">
            <w:pPr>
              <w:pStyle w:val="BodyText1"/>
              <w:spacing w:after="240"/>
              <w:rPr>
                <w:rFonts w:ascii="Times New Roman" w:hAnsi="Times New Roman"/>
                <w:bCs/>
                <w:sz w:val="24"/>
                <w:szCs w:val="24"/>
              </w:rPr>
            </w:pPr>
            <w:r>
              <w:rPr>
                <w:rFonts w:ascii="Times New Roman" w:hAnsi="Times New Roman"/>
                <w:sz w:val="24"/>
              </w:rPr>
              <w:t>{0071;0010}</w:t>
            </w:r>
          </w:p>
        </w:tc>
        <w:tc>
          <w:tcPr>
            <w:tcW w:w="7566" w:type="dxa"/>
            <w:tcBorders>
              <w:top w:val="single" w:sz="4" w:space="0" w:color="auto"/>
              <w:left w:val="single" w:sz="4" w:space="0" w:color="auto"/>
              <w:bottom w:val="single" w:sz="4" w:space="0" w:color="auto"/>
              <w:right w:val="single" w:sz="4" w:space="0" w:color="auto"/>
            </w:tcBorders>
          </w:tcPr>
          <w:p w14:paraId="2D238DD9" w14:textId="77777777"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b/>
                <w:sz w:val="24"/>
              </w:rPr>
              <w:t>(–) Ietekme, ko rada naudā saņemta mainīgā drošības rezerve, kuru var kompensēt pret atvasināto instrumentu tirgus vērtību (</w:t>
            </w:r>
            <w:r>
              <w:rPr>
                <w:rFonts w:ascii="Times New Roman" w:hAnsi="Times New Roman"/>
                <w:b/>
                <w:i/>
                <w:iCs/>
                <w:sz w:val="24"/>
              </w:rPr>
              <w:t>SA-CCR</w:t>
            </w:r>
            <w:r>
              <w:rPr>
                <w:rFonts w:ascii="Times New Roman" w:hAnsi="Times New Roman"/>
                <w:b/>
                <w:sz w:val="24"/>
              </w:rPr>
              <w:t xml:space="preserve"> – aizvietošanas vērtība)</w:t>
            </w:r>
          </w:p>
          <w:p w14:paraId="1A368C0C" w14:textId="3657AB83"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Regulas (ES) Nr. 575/2013 429.c panta 3. punkts.</w:t>
            </w:r>
          </w:p>
          <w:p w14:paraId="04F99B6B" w14:textId="4F870A7A"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sz w:val="24"/>
              </w:rPr>
              <w:t>Mainīgā drošības rezerve, kas saņemta naudā no darījuma partnera un kuru var kompensēt pret atvasināto instrumentu riska pozīcijas aizvietošanas vērtības komponentu saskaņā ar Regulas (ES) Nr. 575/2013 429.c panta 3. punktu. Šo summu uzrāda ar 1,4 alfa faktoru, ko piemēro, kā norādīts Regulas (ES) Nr. 575/2013 274. panta 2. punktā.</w:t>
            </w:r>
          </w:p>
          <w:p w14:paraId="0D6BE08A" w14:textId="0AA9C4EA"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sz w:val="24"/>
              </w:rPr>
              <w:t xml:space="preserve">Neuzrāda naudā saņemtās mainīgās drošības rezerves par </w:t>
            </w:r>
            <w:r>
              <w:rPr>
                <w:rFonts w:ascii="Times New Roman" w:hAnsi="Times New Roman"/>
                <w:i/>
                <w:iCs/>
                <w:sz w:val="24"/>
              </w:rPr>
              <w:t>CCP</w:t>
            </w:r>
            <w:r>
              <w:rPr>
                <w:rFonts w:ascii="Times New Roman" w:hAnsi="Times New Roman"/>
                <w:sz w:val="24"/>
              </w:rPr>
              <w:t> daļu, kas ir atbrīvota saskaņā ar Regulas (ES) Nr. 575/2013 429.a panta 1. punkta g) apakšpunktu.</w:t>
            </w:r>
          </w:p>
          <w:p w14:paraId="3C49A67A" w14:textId="21788571"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sz w:val="24"/>
              </w:rPr>
              <w:t>Šajā šūnā uzrādīto summu iestādes iekļauj arī {0061;0010} tā, it kā naudā saņemtās mainīgās drošības rezerves atskaitījums nebūtu piemērojams.</w:t>
            </w:r>
          </w:p>
        </w:tc>
      </w:tr>
      <w:tr w:rsidR="00B451A5" w:rsidRPr="00E75BB8" w14:paraId="2A6BC469"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30AAB0D5" w14:textId="77777777" w:rsidR="00B451A5" w:rsidRPr="000B66BC" w:rsidDel="002D1CE8" w:rsidRDefault="00B451A5" w:rsidP="000B66BC">
            <w:pPr>
              <w:pStyle w:val="BodyText1"/>
              <w:spacing w:after="240"/>
              <w:rPr>
                <w:rFonts w:ascii="Times New Roman" w:hAnsi="Times New Roman"/>
                <w:bCs/>
                <w:sz w:val="24"/>
                <w:szCs w:val="24"/>
              </w:rPr>
            </w:pPr>
            <w:r>
              <w:rPr>
                <w:rFonts w:ascii="Times New Roman" w:hAnsi="Times New Roman"/>
                <w:sz w:val="24"/>
              </w:rPr>
              <w:lastRenderedPageBreak/>
              <w:t>{0081;0010}</w:t>
            </w:r>
          </w:p>
        </w:tc>
        <w:tc>
          <w:tcPr>
            <w:tcW w:w="7566" w:type="dxa"/>
            <w:tcBorders>
              <w:top w:val="single" w:sz="4" w:space="0" w:color="auto"/>
              <w:left w:val="single" w:sz="4" w:space="0" w:color="auto"/>
              <w:bottom w:val="single" w:sz="4" w:space="0" w:color="auto"/>
              <w:right w:val="single" w:sz="4" w:space="0" w:color="auto"/>
            </w:tcBorders>
          </w:tcPr>
          <w:p w14:paraId="1F4EB90B" w14:textId="77777777"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 Ietekme, ko rada atbrīvotā </w:t>
            </w:r>
            <w:r>
              <w:rPr>
                <w:rFonts w:ascii="Times New Roman" w:hAnsi="Times New Roman"/>
                <w:b/>
                <w:i/>
                <w:iCs/>
                <w:sz w:val="24"/>
              </w:rPr>
              <w:t>CCP</w:t>
            </w:r>
            <w:r>
              <w:rPr>
                <w:rFonts w:ascii="Times New Roman" w:hAnsi="Times New Roman"/>
                <w:b/>
                <w:sz w:val="24"/>
              </w:rPr>
              <w:t xml:space="preserve"> daļa tirdzniecības riska darījumos ar klientu veiktu </w:t>
            </w:r>
            <w:proofErr w:type="spellStart"/>
            <w:r>
              <w:rPr>
                <w:rFonts w:ascii="Times New Roman" w:hAnsi="Times New Roman"/>
                <w:b/>
                <w:sz w:val="24"/>
              </w:rPr>
              <w:t>tīrvērti</w:t>
            </w:r>
            <w:proofErr w:type="spellEnd"/>
            <w:r>
              <w:rPr>
                <w:rFonts w:ascii="Times New Roman" w:hAnsi="Times New Roman"/>
                <w:b/>
                <w:sz w:val="24"/>
              </w:rPr>
              <w:t xml:space="preserve"> (</w:t>
            </w:r>
            <w:r>
              <w:rPr>
                <w:rFonts w:ascii="Times New Roman" w:hAnsi="Times New Roman"/>
                <w:b/>
                <w:i/>
                <w:iCs/>
                <w:sz w:val="24"/>
              </w:rPr>
              <w:t>SA-CCR</w:t>
            </w:r>
            <w:r>
              <w:rPr>
                <w:rFonts w:ascii="Times New Roman" w:hAnsi="Times New Roman"/>
                <w:b/>
                <w:sz w:val="24"/>
              </w:rPr>
              <w:t xml:space="preserve"> – aizvietošanas vērtība)</w:t>
            </w:r>
          </w:p>
          <w:p w14:paraId="4B3A4644" w14:textId="2DF3E946"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sz w:val="24"/>
              </w:rPr>
              <w:t>Regulas (ES) Nr. 575/2013 429.a panta 1. punkta g) apakšpunkts.</w:t>
            </w:r>
          </w:p>
          <w:p w14:paraId="2F8AB13D" w14:textId="7971537D"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sz w:val="24"/>
              </w:rPr>
              <w:t xml:space="preserve">Aizvietošanas vērtības komponents atbrīvotos tirdzniecības riska darījumos ar </w:t>
            </w:r>
            <w:r>
              <w:rPr>
                <w:rFonts w:ascii="Times New Roman" w:hAnsi="Times New Roman"/>
                <w:i/>
                <w:iCs/>
                <w:sz w:val="24"/>
              </w:rPr>
              <w:t>QCCP</w:t>
            </w:r>
            <w:r>
              <w:rPr>
                <w:rFonts w:ascii="Times New Roman" w:hAnsi="Times New Roman"/>
                <w:sz w:val="24"/>
              </w:rPr>
              <w:t xml:space="preserve"> no atvasināto instrumentu darījumiem ar klientu veiktu </w:t>
            </w:r>
            <w:proofErr w:type="spellStart"/>
            <w:r>
              <w:rPr>
                <w:rFonts w:ascii="Times New Roman" w:hAnsi="Times New Roman"/>
                <w:sz w:val="24"/>
              </w:rPr>
              <w:t>tīrvērti</w:t>
            </w:r>
            <w:proofErr w:type="spellEnd"/>
            <w:r>
              <w:rPr>
                <w:rFonts w:ascii="Times New Roman" w:hAnsi="Times New Roman"/>
                <w:sz w:val="24"/>
              </w:rPr>
              <w:t>, ar nosacījumu, ka minētie posteņi atbilst nosacījumiem, kas paredzēti Regulas (ES) Nr. 575/2013 306. panta 1. punkta c) apakšpunktā. Šo summu norāda, ieskaitot naudas mainīgo drošības rezervi, kas saņemta par šo daļu. Šo summu uzrāda ar 1,4 alfa faktoru, ko piemēro, kā norādīts Regulas (ES) Nr. 575/2013 274. panta 2. punktā.</w:t>
            </w:r>
          </w:p>
          <w:p w14:paraId="3D70C614" w14:textId="27A413D3" w:rsidR="00B451A5" w:rsidRPr="000B66BC" w:rsidDel="002D1CE8" w:rsidRDefault="00B451A5" w:rsidP="000B66BC">
            <w:pPr>
              <w:pStyle w:val="BodyText1"/>
              <w:spacing w:after="240" w:line="240" w:lineRule="auto"/>
              <w:rPr>
                <w:rFonts w:ascii="Times New Roman" w:hAnsi="Times New Roman"/>
                <w:b/>
                <w:bCs/>
                <w:sz w:val="24"/>
                <w:szCs w:val="24"/>
              </w:rPr>
            </w:pPr>
            <w:r>
              <w:rPr>
                <w:rFonts w:ascii="Times New Roman" w:hAnsi="Times New Roman"/>
                <w:sz w:val="24"/>
              </w:rPr>
              <w:t>Šajā šūnā uzrādīto summu iestādes iekļauj arī {0061;0010} tā, it kā atbrīvojums nebūtu piemērojams.</w:t>
            </w:r>
          </w:p>
        </w:tc>
      </w:tr>
      <w:tr w:rsidR="00BE4B9E" w:rsidRPr="00E75BB8" w14:paraId="21C5C5EE" w14:textId="77777777" w:rsidTr="008979D2">
        <w:trPr>
          <w:trHeight w:val="304"/>
        </w:trPr>
        <w:tc>
          <w:tcPr>
            <w:tcW w:w="1555" w:type="dxa"/>
            <w:gridSpan w:val="2"/>
          </w:tcPr>
          <w:p w14:paraId="12F2B1DD" w14:textId="54C860E8" w:rsidR="00BE4B9E" w:rsidRPr="000B66BC" w:rsidRDefault="00BE4B9E" w:rsidP="000B66BC">
            <w:pPr>
              <w:pStyle w:val="BodyText1"/>
              <w:spacing w:after="240"/>
              <w:rPr>
                <w:rFonts w:ascii="Times New Roman" w:hAnsi="Times New Roman"/>
                <w:bCs/>
                <w:sz w:val="24"/>
                <w:szCs w:val="24"/>
              </w:rPr>
            </w:pPr>
            <w:r>
              <w:rPr>
                <w:rFonts w:ascii="Times New Roman" w:hAnsi="Times New Roman"/>
                <w:sz w:val="24"/>
              </w:rPr>
              <w:t>{0091;0010}</w:t>
            </w:r>
          </w:p>
        </w:tc>
        <w:tc>
          <w:tcPr>
            <w:tcW w:w="7566" w:type="dxa"/>
          </w:tcPr>
          <w:p w14:paraId="039E3624" w14:textId="77777777"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Atvasinātie instrumenti: potenciālās nākotnes kredītriska darījumu vērtības komponents saskaņā ar </w:t>
            </w:r>
            <w:r>
              <w:rPr>
                <w:rFonts w:ascii="Times New Roman" w:hAnsi="Times New Roman"/>
                <w:b/>
                <w:i/>
                <w:iCs/>
                <w:sz w:val="24"/>
              </w:rPr>
              <w:t>SA-CCR</w:t>
            </w:r>
            <w:r>
              <w:rPr>
                <w:rFonts w:ascii="Times New Roman" w:hAnsi="Times New Roman"/>
                <w:b/>
                <w:sz w:val="24"/>
              </w:rPr>
              <w:t xml:space="preserve"> (reizinātājs = 1) </w:t>
            </w:r>
          </w:p>
          <w:p w14:paraId="11FEB8DF" w14:textId="0B9CCE03" w:rsidR="00BE4B9E" w:rsidRPr="000B66BC" w:rsidRDefault="00BE4B9E" w:rsidP="000B66BC">
            <w:pPr>
              <w:pStyle w:val="BodyText1"/>
              <w:spacing w:after="240" w:line="240" w:lineRule="auto"/>
              <w:rPr>
                <w:rFonts w:ascii="Times New Roman" w:hAnsi="Times New Roman"/>
                <w:bCs/>
                <w:sz w:val="24"/>
                <w:szCs w:val="24"/>
              </w:rPr>
            </w:pPr>
            <w:r>
              <w:rPr>
                <w:rFonts w:ascii="Times New Roman" w:hAnsi="Times New Roman"/>
                <w:sz w:val="24"/>
              </w:rPr>
              <w:t>Regulas (ES) Nr. 575/2013 429.c panta 5. punkts.</w:t>
            </w:r>
          </w:p>
          <w:p w14:paraId="77480A73" w14:textId="71E40CF3"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sz w:val="24"/>
              </w:rPr>
              <w:t xml:space="preserve">Potenciālā nākotnes kredītriska darījumu vērtība saskaņā ar Regulas (ES) Nr. 575/2013 278. pantu, pieņemot reizinātāju 1, t. i., nepiemērojot atkāpi attiecībā uz līgumiem ar klientiem, ja šiem līgumiem </w:t>
            </w:r>
            <w:proofErr w:type="spellStart"/>
            <w:r>
              <w:rPr>
                <w:rFonts w:ascii="Times New Roman" w:hAnsi="Times New Roman"/>
                <w:sz w:val="24"/>
              </w:rPr>
              <w:t>tīrvērti</w:t>
            </w:r>
            <w:proofErr w:type="spellEnd"/>
            <w:r>
              <w:rPr>
                <w:rFonts w:ascii="Times New Roman" w:hAnsi="Times New Roman"/>
                <w:sz w:val="24"/>
              </w:rPr>
              <w:t xml:space="preserve"> veic </w:t>
            </w:r>
            <w:r>
              <w:rPr>
                <w:rFonts w:ascii="Times New Roman" w:hAnsi="Times New Roman"/>
                <w:i/>
                <w:iCs/>
                <w:sz w:val="24"/>
              </w:rPr>
              <w:t>QCCP</w:t>
            </w:r>
            <w:r>
              <w:rPr>
                <w:rFonts w:ascii="Times New Roman" w:hAnsi="Times New Roman"/>
                <w:sz w:val="24"/>
              </w:rPr>
              <w:t xml:space="preserve"> atbilstoši Regulas (ES) Nr. 575/2013 429.c panta 5. punktam. Šo summu uzrāda ar 1,4 alfa faktoru, ko piemēro, kā norādīts Regulas (ES) Nr. 575/2013 274. panta 2. punktā.</w:t>
            </w:r>
          </w:p>
        </w:tc>
      </w:tr>
      <w:tr w:rsidR="00BE4B9E" w:rsidRPr="00E75BB8" w14:paraId="1F0CF2B9" w14:textId="77777777" w:rsidTr="008979D2">
        <w:trPr>
          <w:trHeight w:val="304"/>
        </w:trPr>
        <w:tc>
          <w:tcPr>
            <w:tcW w:w="1555" w:type="dxa"/>
            <w:gridSpan w:val="2"/>
          </w:tcPr>
          <w:p w14:paraId="3B470185" w14:textId="419934C4" w:rsidR="00BE4B9E" w:rsidRPr="000B66BC" w:rsidRDefault="00BE4B9E" w:rsidP="000B66BC">
            <w:pPr>
              <w:pStyle w:val="BodyText1"/>
              <w:spacing w:after="240"/>
              <w:rPr>
                <w:rFonts w:ascii="Times New Roman" w:hAnsi="Times New Roman"/>
                <w:bCs/>
                <w:sz w:val="24"/>
                <w:szCs w:val="24"/>
              </w:rPr>
            </w:pPr>
            <w:r>
              <w:rPr>
                <w:rFonts w:ascii="Times New Roman" w:hAnsi="Times New Roman"/>
                <w:sz w:val="24"/>
              </w:rPr>
              <w:t>{0092;0010}</w:t>
            </w:r>
          </w:p>
        </w:tc>
        <w:tc>
          <w:tcPr>
            <w:tcW w:w="7566" w:type="dxa"/>
          </w:tcPr>
          <w:p w14:paraId="2E121ECA" w14:textId="77777777"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 Ietekme, ko uz </w:t>
            </w:r>
            <w:r>
              <w:rPr>
                <w:rFonts w:ascii="Times New Roman" w:hAnsi="Times New Roman"/>
                <w:b/>
                <w:i/>
                <w:iCs/>
                <w:sz w:val="24"/>
              </w:rPr>
              <w:t>PFE</w:t>
            </w:r>
            <w:r>
              <w:rPr>
                <w:rFonts w:ascii="Times New Roman" w:hAnsi="Times New Roman"/>
                <w:b/>
                <w:sz w:val="24"/>
              </w:rPr>
              <w:t xml:space="preserve"> komponentu rada mazāks reizinātājs darījumos ar </w:t>
            </w:r>
            <w:r>
              <w:rPr>
                <w:rFonts w:ascii="Times New Roman" w:hAnsi="Times New Roman"/>
                <w:b/>
                <w:i/>
                <w:iCs/>
                <w:sz w:val="24"/>
              </w:rPr>
              <w:t>QCCP</w:t>
            </w:r>
            <w:r>
              <w:rPr>
                <w:rFonts w:ascii="Times New Roman" w:hAnsi="Times New Roman"/>
                <w:b/>
                <w:sz w:val="24"/>
              </w:rPr>
              <w:t xml:space="preserve"> kā klientu veiktu </w:t>
            </w:r>
            <w:proofErr w:type="spellStart"/>
            <w:r>
              <w:rPr>
                <w:rFonts w:ascii="Times New Roman" w:hAnsi="Times New Roman"/>
                <w:b/>
                <w:sz w:val="24"/>
              </w:rPr>
              <w:t>tīrvērti</w:t>
            </w:r>
            <w:proofErr w:type="spellEnd"/>
            <w:r>
              <w:rPr>
                <w:rFonts w:ascii="Times New Roman" w:hAnsi="Times New Roman"/>
                <w:b/>
                <w:sz w:val="24"/>
              </w:rPr>
              <w:t xml:space="preserve"> (</w:t>
            </w:r>
            <w:r>
              <w:rPr>
                <w:rFonts w:ascii="Times New Roman" w:hAnsi="Times New Roman"/>
                <w:b/>
                <w:i/>
                <w:iCs/>
                <w:sz w:val="24"/>
              </w:rPr>
              <w:t>SA-CCR</w:t>
            </w:r>
            <w:r>
              <w:rPr>
                <w:rFonts w:ascii="Times New Roman" w:hAnsi="Times New Roman"/>
                <w:b/>
                <w:sz w:val="24"/>
              </w:rPr>
              <w:t xml:space="preserve"> – potenciālā nākotnes kredītriska darījumu vērtība)</w:t>
            </w:r>
          </w:p>
          <w:p w14:paraId="51309425" w14:textId="54D1B8FE" w:rsidR="00BE4B9E" w:rsidRPr="000B66BC" w:rsidRDefault="00BE4B9E" w:rsidP="000B66BC">
            <w:pPr>
              <w:pStyle w:val="BodyText1"/>
              <w:spacing w:after="240" w:line="240" w:lineRule="auto"/>
              <w:rPr>
                <w:rFonts w:ascii="Times New Roman" w:hAnsi="Times New Roman"/>
                <w:bCs/>
                <w:sz w:val="24"/>
                <w:szCs w:val="24"/>
              </w:rPr>
            </w:pPr>
            <w:r>
              <w:rPr>
                <w:rFonts w:ascii="Times New Roman" w:hAnsi="Times New Roman"/>
                <w:sz w:val="24"/>
              </w:rPr>
              <w:t>Regulas (ES) Nr. 575/2013 429.c panta 5. punkts.</w:t>
            </w:r>
          </w:p>
          <w:p w14:paraId="36AD83FD" w14:textId="2FF4947E" w:rsidR="00BE4B9E" w:rsidRPr="000B66BC" w:rsidRDefault="00334535" w:rsidP="000B66BC">
            <w:pPr>
              <w:pStyle w:val="BodyText1"/>
              <w:spacing w:after="240" w:line="240" w:lineRule="auto"/>
              <w:rPr>
                <w:rFonts w:ascii="Times New Roman" w:hAnsi="Times New Roman"/>
                <w:bCs/>
                <w:sz w:val="24"/>
                <w:szCs w:val="24"/>
              </w:rPr>
            </w:pPr>
            <w:r>
              <w:rPr>
                <w:rFonts w:ascii="Times New Roman" w:hAnsi="Times New Roman"/>
                <w:sz w:val="24"/>
              </w:rPr>
              <w:t xml:space="preserve">Regulas (ES) Nr. 575/2013 429.c panta 5. punktā paredzētās atkāpes piemērošana attiecībā uz </w:t>
            </w:r>
            <w:r>
              <w:rPr>
                <w:rFonts w:ascii="Times New Roman" w:hAnsi="Times New Roman"/>
                <w:i/>
                <w:iCs/>
                <w:sz w:val="24"/>
              </w:rPr>
              <w:t>PFE</w:t>
            </w:r>
            <w:r>
              <w:rPr>
                <w:rFonts w:ascii="Times New Roman" w:hAnsi="Times New Roman"/>
                <w:sz w:val="24"/>
              </w:rPr>
              <w:t xml:space="preserve"> aprēķinu atvasināto instrumentu līgumiem ar </w:t>
            </w:r>
            <w:r>
              <w:rPr>
                <w:rFonts w:ascii="Times New Roman" w:hAnsi="Times New Roman"/>
                <w:sz w:val="24"/>
              </w:rPr>
              <w:lastRenderedPageBreak/>
              <w:t xml:space="preserve">klientiem, ja šiem līgumiem </w:t>
            </w:r>
            <w:proofErr w:type="spellStart"/>
            <w:r>
              <w:rPr>
                <w:rFonts w:ascii="Times New Roman" w:hAnsi="Times New Roman"/>
                <w:sz w:val="24"/>
              </w:rPr>
              <w:t>tīrvērti</w:t>
            </w:r>
            <w:proofErr w:type="spellEnd"/>
            <w:r>
              <w:rPr>
                <w:rFonts w:ascii="Times New Roman" w:hAnsi="Times New Roman"/>
                <w:sz w:val="24"/>
              </w:rPr>
              <w:t xml:space="preserve"> veic </w:t>
            </w:r>
            <w:r>
              <w:rPr>
                <w:rFonts w:ascii="Times New Roman" w:hAnsi="Times New Roman"/>
                <w:i/>
                <w:iCs/>
                <w:sz w:val="24"/>
              </w:rPr>
              <w:t>QCCP</w:t>
            </w:r>
            <w:r>
              <w:rPr>
                <w:rFonts w:ascii="Times New Roman" w:hAnsi="Times New Roman"/>
                <w:sz w:val="24"/>
              </w:rPr>
              <w:t>. Šo summu uzrāda ar 1,4 alfa faktoru, ko piemēro, kā norādīts Regulas (ES) Nr. 575/2013 274. panta 2. punktā.</w:t>
            </w:r>
          </w:p>
          <w:p w14:paraId="69C754CC" w14:textId="4C627CA1" w:rsidR="00334535" w:rsidRPr="000B66BC" w:rsidRDefault="00C622B3" w:rsidP="000B66BC">
            <w:pPr>
              <w:pStyle w:val="BodyText1"/>
              <w:spacing w:after="240" w:line="240" w:lineRule="auto"/>
              <w:rPr>
                <w:rFonts w:ascii="Times New Roman" w:hAnsi="Times New Roman"/>
                <w:b/>
                <w:bCs/>
                <w:sz w:val="24"/>
                <w:szCs w:val="24"/>
              </w:rPr>
            </w:pPr>
            <w:r>
              <w:rPr>
                <w:rFonts w:ascii="Times New Roman" w:hAnsi="Times New Roman"/>
                <w:sz w:val="24"/>
              </w:rPr>
              <w:t>Šajā šūnā uzrādīto summu iestādes iekļauj arī {0091;0010} tā, it kā atkāpe nebūtu piemērojama.</w:t>
            </w:r>
          </w:p>
        </w:tc>
      </w:tr>
      <w:tr w:rsidR="00721D6C" w:rsidRPr="00E75BB8" w14:paraId="337DFBE3" w14:textId="77777777" w:rsidTr="008979D2">
        <w:trPr>
          <w:trHeight w:val="304"/>
        </w:trPr>
        <w:tc>
          <w:tcPr>
            <w:tcW w:w="1555" w:type="dxa"/>
            <w:gridSpan w:val="2"/>
          </w:tcPr>
          <w:p w14:paraId="4EC86A2A" w14:textId="23F426EB" w:rsidR="00721D6C" w:rsidRPr="000B66BC" w:rsidRDefault="00721D6C" w:rsidP="000B66BC">
            <w:pPr>
              <w:pStyle w:val="BodyText1"/>
              <w:spacing w:after="240"/>
              <w:rPr>
                <w:rFonts w:ascii="Times New Roman" w:hAnsi="Times New Roman"/>
                <w:bCs/>
                <w:sz w:val="24"/>
                <w:szCs w:val="24"/>
              </w:rPr>
            </w:pPr>
            <w:r>
              <w:rPr>
                <w:rFonts w:ascii="Times New Roman" w:hAnsi="Times New Roman"/>
                <w:sz w:val="24"/>
              </w:rPr>
              <w:lastRenderedPageBreak/>
              <w:t>{0093;0010}</w:t>
            </w:r>
          </w:p>
        </w:tc>
        <w:tc>
          <w:tcPr>
            <w:tcW w:w="7566" w:type="dxa"/>
          </w:tcPr>
          <w:p w14:paraId="799DA79E" w14:textId="77777777" w:rsidR="00721D6C" w:rsidRPr="000B66BC" w:rsidRDefault="00721D6C" w:rsidP="000B66BC">
            <w:pPr>
              <w:pStyle w:val="BodyText1"/>
              <w:spacing w:after="240" w:line="240" w:lineRule="auto"/>
              <w:rPr>
                <w:rFonts w:ascii="Times New Roman" w:hAnsi="Times New Roman"/>
                <w:bCs/>
                <w:sz w:val="24"/>
                <w:szCs w:val="24"/>
              </w:rPr>
            </w:pPr>
            <w:r>
              <w:rPr>
                <w:rFonts w:ascii="Times New Roman" w:hAnsi="Times New Roman"/>
                <w:b/>
                <w:sz w:val="24"/>
              </w:rPr>
              <w:t xml:space="preserve">(–) Ietekme, ko rada atbrīvotā </w:t>
            </w:r>
            <w:r>
              <w:rPr>
                <w:rFonts w:ascii="Times New Roman" w:hAnsi="Times New Roman"/>
                <w:b/>
                <w:i/>
                <w:iCs/>
                <w:sz w:val="24"/>
              </w:rPr>
              <w:t>CCP</w:t>
            </w:r>
            <w:r>
              <w:rPr>
                <w:rFonts w:ascii="Times New Roman" w:hAnsi="Times New Roman"/>
                <w:b/>
                <w:sz w:val="24"/>
              </w:rPr>
              <w:t xml:space="preserve"> daļa tirdzniecības riska darījumos ar klientu veiktu </w:t>
            </w:r>
            <w:proofErr w:type="spellStart"/>
            <w:r>
              <w:rPr>
                <w:rFonts w:ascii="Times New Roman" w:hAnsi="Times New Roman"/>
                <w:b/>
                <w:sz w:val="24"/>
              </w:rPr>
              <w:t>tīrvērti</w:t>
            </w:r>
            <w:proofErr w:type="spellEnd"/>
            <w:r>
              <w:rPr>
                <w:rFonts w:ascii="Times New Roman" w:hAnsi="Times New Roman"/>
                <w:b/>
                <w:sz w:val="24"/>
              </w:rPr>
              <w:t xml:space="preserve"> (</w:t>
            </w:r>
            <w:r>
              <w:rPr>
                <w:rFonts w:ascii="Times New Roman" w:hAnsi="Times New Roman"/>
                <w:b/>
                <w:i/>
                <w:iCs/>
                <w:sz w:val="24"/>
              </w:rPr>
              <w:t>SA-CCR</w:t>
            </w:r>
            <w:r>
              <w:rPr>
                <w:rFonts w:ascii="Times New Roman" w:hAnsi="Times New Roman"/>
                <w:b/>
                <w:sz w:val="24"/>
              </w:rPr>
              <w:t xml:space="preserve"> pieeja – potenciālā nākotnes kredītriska darījumu vērtība)</w:t>
            </w:r>
          </w:p>
          <w:p w14:paraId="638E19CF" w14:textId="54F17918" w:rsidR="00721D6C" w:rsidRPr="000B66BC" w:rsidRDefault="002F3BA4" w:rsidP="000B66BC">
            <w:pPr>
              <w:pStyle w:val="BodyText1"/>
              <w:spacing w:after="240" w:line="240" w:lineRule="auto"/>
              <w:rPr>
                <w:rFonts w:ascii="Times New Roman" w:hAnsi="Times New Roman"/>
                <w:bCs/>
                <w:sz w:val="24"/>
                <w:szCs w:val="24"/>
              </w:rPr>
            </w:pPr>
            <w:r>
              <w:rPr>
                <w:rFonts w:ascii="Times New Roman" w:hAnsi="Times New Roman"/>
                <w:sz w:val="24"/>
              </w:rPr>
              <w:t>Regulas (ES) Nr. 575/2013 429.a panta 1. punkta g) apakšpunkts.</w:t>
            </w:r>
          </w:p>
          <w:p w14:paraId="3C911695" w14:textId="5D4C77C5" w:rsidR="00721D6C" w:rsidRPr="000B66BC" w:rsidRDefault="00721D6C" w:rsidP="000B66BC">
            <w:pPr>
              <w:pStyle w:val="BodyText1"/>
              <w:spacing w:after="240" w:line="240" w:lineRule="auto"/>
              <w:rPr>
                <w:rFonts w:ascii="Times New Roman" w:hAnsi="Times New Roman"/>
                <w:bCs/>
                <w:sz w:val="24"/>
                <w:szCs w:val="24"/>
              </w:rPr>
            </w:pPr>
            <w:r>
              <w:rPr>
                <w:rFonts w:ascii="Times New Roman" w:hAnsi="Times New Roman"/>
                <w:sz w:val="24"/>
              </w:rPr>
              <w:t xml:space="preserve">Potenciālā nākotnes kredītriska darījumu vērtība atbrīvotos tirdzniecības riska darījumos ar </w:t>
            </w:r>
            <w:r>
              <w:rPr>
                <w:rFonts w:ascii="Times New Roman" w:hAnsi="Times New Roman"/>
                <w:i/>
                <w:iCs/>
                <w:sz w:val="24"/>
              </w:rPr>
              <w:t>QCCP</w:t>
            </w:r>
            <w:r>
              <w:rPr>
                <w:rFonts w:ascii="Times New Roman" w:hAnsi="Times New Roman"/>
                <w:sz w:val="24"/>
              </w:rPr>
              <w:t xml:space="preserve"> no atvasināto instrumentu darījumiem ar klientu veiktu </w:t>
            </w:r>
            <w:proofErr w:type="spellStart"/>
            <w:r>
              <w:rPr>
                <w:rFonts w:ascii="Times New Roman" w:hAnsi="Times New Roman"/>
                <w:sz w:val="24"/>
              </w:rPr>
              <w:t>tīrvērti</w:t>
            </w:r>
            <w:proofErr w:type="spellEnd"/>
            <w:r>
              <w:rPr>
                <w:rFonts w:ascii="Times New Roman" w:hAnsi="Times New Roman"/>
                <w:sz w:val="24"/>
              </w:rPr>
              <w:t>, ar nosacījumu, ka minētie posteņi atbilst nosacījumiem, kas paredzēti Regulas (ES) Nr. 575/2013 306. panta 1. punkta c) apakšpunktā. Šo summu uzrāda ar 1,4 alfa faktoru, ko piemēro, kā norādīts Regulas (ES) Nr. 575/2013 274. panta 2. punktā.</w:t>
            </w:r>
          </w:p>
          <w:p w14:paraId="5DC396D3" w14:textId="79540906" w:rsidR="00721D6C" w:rsidRPr="000B66BC" w:rsidRDefault="00721D6C" w:rsidP="000B66BC">
            <w:pPr>
              <w:pStyle w:val="BodyText1"/>
              <w:spacing w:after="240" w:line="240" w:lineRule="auto"/>
              <w:rPr>
                <w:rFonts w:ascii="Times New Roman" w:hAnsi="Times New Roman"/>
                <w:b/>
                <w:bCs/>
                <w:sz w:val="24"/>
                <w:szCs w:val="24"/>
              </w:rPr>
            </w:pPr>
            <w:r>
              <w:rPr>
                <w:rFonts w:ascii="Times New Roman" w:hAnsi="Times New Roman"/>
                <w:sz w:val="24"/>
              </w:rPr>
              <w:t>Šajā šūnā uzrādīto summu iestādes iekļauj arī {0091;0010} tā, it kā atbrīvojums nebūtu piemērojams.</w:t>
            </w:r>
          </w:p>
        </w:tc>
      </w:tr>
      <w:tr w:rsidR="001D7778" w:rsidRPr="00E75BB8" w14:paraId="7D779BBC"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70492254" w14:textId="77777777" w:rsidR="001D7778" w:rsidRPr="000B66BC" w:rsidRDefault="001D7778" w:rsidP="000B66BC">
            <w:pPr>
              <w:pStyle w:val="BodyText1"/>
              <w:spacing w:after="240"/>
              <w:rPr>
                <w:rFonts w:ascii="Times New Roman" w:hAnsi="Times New Roman"/>
                <w:bCs/>
                <w:sz w:val="24"/>
                <w:szCs w:val="24"/>
              </w:rPr>
            </w:pPr>
            <w:r>
              <w:rPr>
                <w:rFonts w:ascii="Times New Roman" w:hAnsi="Times New Roman"/>
                <w:sz w:val="24"/>
              </w:rPr>
              <w:t>{0101;0010}</w:t>
            </w:r>
          </w:p>
        </w:tc>
        <w:tc>
          <w:tcPr>
            <w:tcW w:w="7566" w:type="dxa"/>
            <w:tcBorders>
              <w:top w:val="single" w:sz="4" w:space="0" w:color="auto"/>
              <w:left w:val="single" w:sz="4" w:space="0" w:color="auto"/>
              <w:bottom w:val="single" w:sz="4" w:space="0" w:color="auto"/>
              <w:right w:val="single" w:sz="4" w:space="0" w:color="auto"/>
            </w:tcBorders>
          </w:tcPr>
          <w:p w14:paraId="40B6E3AE" w14:textId="77777777" w:rsidR="001D7778" w:rsidRPr="000B66BC" w:rsidRDefault="001D7778"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Atkāpe attiecībā uz atvasinātajiem instrumentiem: aizvietošanas vērtības ieguldījums saskaņā ar vienkāršoto standartizēto pieeju </w:t>
            </w:r>
          </w:p>
          <w:p w14:paraId="729E4C3C" w14:textId="599BA87E"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sz w:val="24"/>
              </w:rPr>
              <w:t>Regulas (ES) Nr. 575/2013 429.c panta 6. punkts un 281. pants.</w:t>
            </w:r>
          </w:p>
          <w:p w14:paraId="4582CAFD" w14:textId="1D9769B3"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sz w:val="24"/>
              </w:rPr>
              <w:t>Šajā šūnā uzrāda Regulas (ES) Nr. 575/2013 II pielikuma 1. un 2. punktā uzskaitīto līgumu riska darījumu vērtības mēru, kas aprēķināts saskaņā ar sākotnējās riska darījuma vērtības metodi, kura izklāstīta Regulas (ES) Nr. 575/2013 281. pantā. Šo summu uzrāda ar 1,4 alfa faktoru, ko piemēro, kā norādīts Regulas (ES) Nr. 575/2013 274. panta 2. punktā.</w:t>
            </w:r>
          </w:p>
          <w:p w14:paraId="6AF43C3C" w14:textId="33DD047C"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sz w:val="24"/>
              </w:rPr>
              <w:t xml:space="preserve">Iestādes, kas piemēro vienkāršoto standartizēto pieeju, nesamazina kopējās riska darījumu vērtības mēru par drošības rezerves vērtību, kura saņemta saskaņā ar Regulas (ES) Nr. 575/2013 429.c panta 6. punktu. Tādējādi izņēmumu attiecībā uz atvasināto instrumentu līgumiem ar klientiem, ja </w:t>
            </w:r>
            <w:r>
              <w:rPr>
                <w:rFonts w:ascii="Times New Roman" w:hAnsi="Times New Roman"/>
                <w:i/>
                <w:iCs/>
                <w:sz w:val="24"/>
              </w:rPr>
              <w:t>QCCP</w:t>
            </w:r>
            <w:r>
              <w:rPr>
                <w:rFonts w:ascii="Times New Roman" w:hAnsi="Times New Roman"/>
                <w:sz w:val="24"/>
              </w:rPr>
              <w:t xml:space="preserve"> ir veicis minēto līgumu </w:t>
            </w:r>
            <w:proofErr w:type="spellStart"/>
            <w:r>
              <w:rPr>
                <w:rFonts w:ascii="Times New Roman" w:hAnsi="Times New Roman"/>
                <w:sz w:val="24"/>
              </w:rPr>
              <w:t>tīrvērti</w:t>
            </w:r>
            <w:proofErr w:type="spellEnd"/>
            <w:r>
              <w:rPr>
                <w:rFonts w:ascii="Times New Roman" w:hAnsi="Times New Roman"/>
                <w:sz w:val="24"/>
              </w:rPr>
              <w:t xml:space="preserve"> saskaņā ar Regulas (ES) Nr. 575/2013 429.c panta 4. punktu, nepiemēro.</w:t>
            </w:r>
          </w:p>
          <w:p w14:paraId="41A54C94" w14:textId="000C6D0B" w:rsidR="001D7778" w:rsidRPr="000B66BC" w:rsidRDefault="001D7778" w:rsidP="000B66BC">
            <w:pPr>
              <w:pStyle w:val="BodyText1"/>
              <w:spacing w:after="240" w:line="240" w:lineRule="auto"/>
              <w:rPr>
                <w:rFonts w:ascii="Times New Roman" w:hAnsi="Times New Roman"/>
                <w:b/>
                <w:bCs/>
                <w:sz w:val="24"/>
                <w:szCs w:val="24"/>
              </w:rPr>
            </w:pPr>
            <w:r>
              <w:rPr>
                <w:rFonts w:ascii="Times New Roman" w:hAnsi="Times New Roman"/>
                <w:sz w:val="24"/>
              </w:rPr>
              <w:t xml:space="preserve">Šajā šūnā iestādes neņem vērā līgumus, kas novērtēti, piemērojot </w:t>
            </w:r>
            <w:r>
              <w:rPr>
                <w:rFonts w:ascii="Times New Roman" w:hAnsi="Times New Roman"/>
                <w:i/>
                <w:iCs/>
                <w:sz w:val="24"/>
              </w:rPr>
              <w:t>SA-CCR</w:t>
            </w:r>
            <w:r>
              <w:rPr>
                <w:rFonts w:ascii="Times New Roman" w:hAnsi="Times New Roman"/>
                <w:sz w:val="24"/>
              </w:rPr>
              <w:t xml:space="preserve"> vai sākotnējās riska darījuma vērtības metodi.</w:t>
            </w:r>
          </w:p>
        </w:tc>
      </w:tr>
      <w:tr w:rsidR="00CB48CC" w:rsidRPr="00E75BB8" w14:paraId="177E0E57" w14:textId="77777777" w:rsidTr="008979D2">
        <w:trPr>
          <w:trHeight w:val="304"/>
        </w:trPr>
        <w:tc>
          <w:tcPr>
            <w:tcW w:w="1555" w:type="dxa"/>
            <w:gridSpan w:val="2"/>
          </w:tcPr>
          <w:p w14:paraId="1A21B8B9" w14:textId="3A3A59D4" w:rsidR="00CB48CC" w:rsidRPr="000B66BC" w:rsidRDefault="001F3E84" w:rsidP="000B66BC">
            <w:pPr>
              <w:pStyle w:val="BodyText1"/>
              <w:spacing w:after="240"/>
              <w:rPr>
                <w:rFonts w:ascii="Times New Roman" w:hAnsi="Times New Roman"/>
                <w:bCs/>
                <w:sz w:val="24"/>
                <w:szCs w:val="24"/>
              </w:rPr>
            </w:pPr>
            <w:r>
              <w:rPr>
                <w:rFonts w:ascii="Times New Roman" w:hAnsi="Times New Roman"/>
                <w:sz w:val="24"/>
              </w:rPr>
              <w:t>{0102;0010}</w:t>
            </w:r>
          </w:p>
        </w:tc>
        <w:tc>
          <w:tcPr>
            <w:tcW w:w="7566" w:type="dxa"/>
          </w:tcPr>
          <w:p w14:paraId="1AB84BA7"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 Ietekme, ko rada atbrīvotā </w:t>
            </w:r>
            <w:r>
              <w:rPr>
                <w:rFonts w:ascii="Times New Roman" w:hAnsi="Times New Roman"/>
                <w:b/>
                <w:i/>
                <w:iCs/>
                <w:sz w:val="24"/>
              </w:rPr>
              <w:t>CCP</w:t>
            </w:r>
            <w:r>
              <w:rPr>
                <w:rFonts w:ascii="Times New Roman" w:hAnsi="Times New Roman"/>
                <w:b/>
                <w:sz w:val="24"/>
              </w:rPr>
              <w:t xml:space="preserve"> daļa tirdzniecības riska darījumos ar klientu veiktu </w:t>
            </w:r>
            <w:proofErr w:type="spellStart"/>
            <w:r>
              <w:rPr>
                <w:rFonts w:ascii="Times New Roman" w:hAnsi="Times New Roman"/>
                <w:b/>
                <w:sz w:val="24"/>
              </w:rPr>
              <w:t>tīrvērti</w:t>
            </w:r>
            <w:proofErr w:type="spellEnd"/>
            <w:r>
              <w:rPr>
                <w:rFonts w:ascii="Times New Roman" w:hAnsi="Times New Roman"/>
                <w:b/>
                <w:sz w:val="24"/>
              </w:rPr>
              <w:t xml:space="preserve"> (vienkāršotā standartizētā pieeja – aizvietošanas vērtība)</w:t>
            </w:r>
          </w:p>
          <w:p w14:paraId="145D251C" w14:textId="4101DA1F" w:rsidR="00CB48CC" w:rsidRPr="000B66BC" w:rsidRDefault="00803EDD" w:rsidP="000B66BC">
            <w:pPr>
              <w:pStyle w:val="BodyText1"/>
              <w:spacing w:after="240" w:line="240" w:lineRule="auto"/>
              <w:rPr>
                <w:rFonts w:ascii="Times New Roman" w:hAnsi="Times New Roman"/>
                <w:bCs/>
                <w:sz w:val="24"/>
                <w:szCs w:val="24"/>
              </w:rPr>
            </w:pPr>
            <w:r>
              <w:rPr>
                <w:rFonts w:ascii="Times New Roman" w:hAnsi="Times New Roman"/>
                <w:sz w:val="24"/>
              </w:rPr>
              <w:t>Regulas (ES) Nr. 575/2013 429.a panta 1. punkta g) apakšpunkts.</w:t>
            </w:r>
          </w:p>
          <w:p w14:paraId="577C5D50" w14:textId="038570D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 xml:space="preserve">Aizvietošanas vērtības komponents atbrīvotos tirdzniecības riska darījumos ar </w:t>
            </w:r>
            <w:r>
              <w:rPr>
                <w:rFonts w:ascii="Times New Roman" w:hAnsi="Times New Roman"/>
                <w:i/>
                <w:iCs/>
                <w:sz w:val="24"/>
              </w:rPr>
              <w:t>QCCP</w:t>
            </w:r>
            <w:r>
              <w:rPr>
                <w:rFonts w:ascii="Times New Roman" w:hAnsi="Times New Roman"/>
                <w:sz w:val="24"/>
              </w:rPr>
              <w:t xml:space="preserve"> no atvasināto instrumentu darījumiem ar klientu veiktu </w:t>
            </w:r>
            <w:proofErr w:type="spellStart"/>
            <w:r>
              <w:rPr>
                <w:rFonts w:ascii="Times New Roman" w:hAnsi="Times New Roman"/>
                <w:sz w:val="24"/>
              </w:rPr>
              <w:t>tīrvērti</w:t>
            </w:r>
            <w:proofErr w:type="spellEnd"/>
            <w:r>
              <w:rPr>
                <w:rFonts w:ascii="Times New Roman" w:hAnsi="Times New Roman"/>
                <w:sz w:val="24"/>
              </w:rPr>
              <w:t>, ar nosacījumu, ka minētie posteņi atbilst nosacījumiem, kas paredzēti Regulas (ES) Nr. 575/2013 306. panta 1. punkta c) apakšpunktā. Šo summu norāda, ieskaitot naudas mainīgo drošības rezervi, kas saņemta par šo daļu. Šo summu uzrāda ar 1,4 alfa faktoru, ko piemēro, kā norādīts Regulas (ES) Nr. 575/2013 274. panta 2. punktā.</w:t>
            </w:r>
          </w:p>
          <w:p w14:paraId="217819AF" w14:textId="1C246258"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Šajā šūnā uzrādīto summu iestādes iekļauj arī {0101;0010} tā, it kā atbrīvojums nebūtu piemērojams.</w:t>
            </w:r>
          </w:p>
        </w:tc>
      </w:tr>
      <w:tr w:rsidR="00CB48CC" w:rsidRPr="00E75BB8" w14:paraId="77B81E13" w14:textId="77777777" w:rsidTr="008979D2">
        <w:trPr>
          <w:trHeight w:val="304"/>
        </w:trPr>
        <w:tc>
          <w:tcPr>
            <w:tcW w:w="1555" w:type="dxa"/>
            <w:gridSpan w:val="2"/>
          </w:tcPr>
          <w:p w14:paraId="59F8E92F" w14:textId="10EA4427"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{0103;0010}</w:t>
            </w:r>
          </w:p>
        </w:tc>
        <w:tc>
          <w:tcPr>
            <w:tcW w:w="7566" w:type="dxa"/>
          </w:tcPr>
          <w:p w14:paraId="3D169826"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Atkāpe attiecībā uz atvasinātajiem instrumentiem: potenciālās nākotnes kredītriska darījumu vērtības komponents saskaņā ar vienkāršoto standartizēto pieeju (reizinātājs = 1) </w:t>
            </w:r>
          </w:p>
          <w:p w14:paraId="5B7322DC" w14:textId="231FF6D8" w:rsidR="00201339" w:rsidRPr="000B66BC" w:rsidRDefault="00803EDD" w:rsidP="000B66BC">
            <w:pPr>
              <w:pStyle w:val="BodyText1"/>
              <w:spacing w:after="240"/>
              <w:rPr>
                <w:rFonts w:ascii="Times New Roman" w:hAnsi="Times New Roman"/>
                <w:bCs/>
                <w:sz w:val="24"/>
                <w:szCs w:val="24"/>
              </w:rPr>
            </w:pPr>
            <w:r>
              <w:rPr>
                <w:rFonts w:ascii="Times New Roman" w:hAnsi="Times New Roman"/>
                <w:sz w:val="24"/>
              </w:rPr>
              <w:t>Regulas (ES) Nr. 575/2013 281. panta 2. punkta f) apakšpunkts un 429.c panta 6. punkts. Iespējamie nākotnes riska darījumi saskaņā ar Regulas (ES) Nr. 575/2013 281. pantā noteikto vienkāršoto standartizēto pieeju, pieņemot, ka reizinātājs ir 1. Šo summu uzrāda ar 1,4 alfa faktoru, ko piemēro, kā norādīts Regulas (ES) Nr. 575/2013 274. panta 2. punktā.</w:t>
            </w:r>
          </w:p>
          <w:p w14:paraId="3AE17E54" w14:textId="1C4D71E5" w:rsidR="00CB48CC" w:rsidRPr="000B66BC" w:rsidRDefault="00201339" w:rsidP="000B66BC">
            <w:pPr>
              <w:pStyle w:val="BodyText1"/>
              <w:spacing w:after="240"/>
              <w:rPr>
                <w:rFonts w:ascii="Times New Roman" w:hAnsi="Times New Roman"/>
                <w:b/>
                <w:bCs/>
                <w:sz w:val="24"/>
                <w:szCs w:val="24"/>
              </w:rPr>
            </w:pPr>
            <w:r>
              <w:rPr>
                <w:rFonts w:ascii="Times New Roman" w:hAnsi="Times New Roman"/>
                <w:sz w:val="24"/>
              </w:rPr>
              <w:t>Iestādes, kas piemēro vienkāršoto standartizēto pieeju, nesamazina kopējās riska darījumu vērtības mēru par drošības rezerves vērtību, kura saņemta saskaņā ar Regulas (ES) Nr. 575/2013 429.c panta 6. punktu.</w:t>
            </w:r>
            <w:r>
              <w:rPr>
                <w:sz w:val="24"/>
              </w:rPr>
              <w:t xml:space="preserve"> </w:t>
            </w:r>
          </w:p>
        </w:tc>
      </w:tr>
      <w:tr w:rsidR="00E1595A" w:rsidRPr="00E75BB8" w14:paraId="65B70708"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2B7E5996" w14:textId="77777777" w:rsidR="00E1595A" w:rsidRPr="000B66BC" w:rsidRDefault="00E1595A" w:rsidP="000B66BC">
            <w:pPr>
              <w:pStyle w:val="BodyText1"/>
              <w:spacing w:after="240"/>
              <w:rPr>
                <w:rFonts w:ascii="Times New Roman" w:hAnsi="Times New Roman"/>
                <w:bCs/>
                <w:sz w:val="24"/>
                <w:szCs w:val="24"/>
              </w:rPr>
            </w:pPr>
            <w:r>
              <w:rPr>
                <w:rFonts w:ascii="Times New Roman" w:hAnsi="Times New Roman"/>
                <w:sz w:val="24"/>
              </w:rPr>
              <w:t>{0104;0010}</w:t>
            </w:r>
          </w:p>
        </w:tc>
        <w:tc>
          <w:tcPr>
            <w:tcW w:w="7566" w:type="dxa"/>
            <w:tcBorders>
              <w:top w:val="single" w:sz="4" w:space="0" w:color="auto"/>
              <w:left w:val="single" w:sz="4" w:space="0" w:color="auto"/>
              <w:bottom w:val="single" w:sz="4" w:space="0" w:color="auto"/>
              <w:right w:val="single" w:sz="4" w:space="0" w:color="auto"/>
            </w:tcBorders>
          </w:tcPr>
          <w:p w14:paraId="293F8B96" w14:textId="77777777" w:rsidR="00E1595A" w:rsidRPr="000B66BC" w:rsidRDefault="00E1595A"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 Ietekme, ko rada atbrīvotā </w:t>
            </w:r>
            <w:r>
              <w:rPr>
                <w:rFonts w:ascii="Times New Roman" w:hAnsi="Times New Roman"/>
                <w:b/>
                <w:i/>
                <w:iCs/>
                <w:sz w:val="24"/>
              </w:rPr>
              <w:t>CCP</w:t>
            </w:r>
            <w:r>
              <w:rPr>
                <w:rFonts w:ascii="Times New Roman" w:hAnsi="Times New Roman"/>
                <w:b/>
                <w:sz w:val="24"/>
              </w:rPr>
              <w:t xml:space="preserve"> daļa tirdzniecības riska darījumos ar klientu veiktu </w:t>
            </w:r>
            <w:proofErr w:type="spellStart"/>
            <w:r>
              <w:rPr>
                <w:rFonts w:ascii="Times New Roman" w:hAnsi="Times New Roman"/>
                <w:b/>
                <w:sz w:val="24"/>
              </w:rPr>
              <w:t>tīrvērti</w:t>
            </w:r>
            <w:proofErr w:type="spellEnd"/>
            <w:r>
              <w:rPr>
                <w:rFonts w:ascii="Times New Roman" w:hAnsi="Times New Roman"/>
                <w:b/>
                <w:sz w:val="24"/>
              </w:rPr>
              <w:t xml:space="preserve"> (vienkāršotā standartizētā pieeja – potenciālā nākotnes kredītriska darījumu vērtība)</w:t>
            </w:r>
          </w:p>
          <w:p w14:paraId="350D0B05" w14:textId="62172539" w:rsidR="00E1595A" w:rsidRPr="000B66BC" w:rsidRDefault="00E1595A" w:rsidP="000B66BC">
            <w:pPr>
              <w:pStyle w:val="BodyText1"/>
              <w:spacing w:after="240" w:line="240" w:lineRule="auto"/>
              <w:rPr>
                <w:rFonts w:ascii="Times New Roman" w:hAnsi="Times New Roman"/>
                <w:bCs/>
                <w:sz w:val="24"/>
                <w:szCs w:val="24"/>
              </w:rPr>
            </w:pPr>
            <w:r>
              <w:rPr>
                <w:rFonts w:ascii="Times New Roman" w:hAnsi="Times New Roman"/>
                <w:sz w:val="24"/>
              </w:rPr>
              <w:t>Regulas (ES) Nr. 575/2013 429.a panta 1. punkta g) apakšpunkts.</w:t>
            </w:r>
          </w:p>
          <w:p w14:paraId="7020C299" w14:textId="52211B9C" w:rsidR="00E1595A" w:rsidRPr="000B66BC" w:rsidRDefault="00E1595A" w:rsidP="000B66BC">
            <w:pPr>
              <w:pStyle w:val="BodyText1"/>
              <w:spacing w:after="240" w:line="240" w:lineRule="auto"/>
              <w:rPr>
                <w:rFonts w:ascii="Times New Roman" w:hAnsi="Times New Roman"/>
                <w:bCs/>
                <w:sz w:val="24"/>
                <w:szCs w:val="24"/>
              </w:rPr>
            </w:pPr>
            <w:r>
              <w:rPr>
                <w:rFonts w:ascii="Times New Roman" w:hAnsi="Times New Roman"/>
                <w:sz w:val="24"/>
              </w:rPr>
              <w:t xml:space="preserve">Potenciālā nākotnes kredītriska darījumu vērtība atbrīvotos tirdzniecības riska darījumos ar </w:t>
            </w:r>
            <w:r>
              <w:rPr>
                <w:rFonts w:ascii="Times New Roman" w:hAnsi="Times New Roman"/>
                <w:i/>
                <w:iCs/>
                <w:sz w:val="24"/>
              </w:rPr>
              <w:t>QCCP</w:t>
            </w:r>
            <w:r>
              <w:rPr>
                <w:rFonts w:ascii="Times New Roman" w:hAnsi="Times New Roman"/>
                <w:sz w:val="24"/>
              </w:rPr>
              <w:t xml:space="preserve"> no atvasināto instrumentu darījumiem ar klientu veiktu </w:t>
            </w:r>
            <w:proofErr w:type="spellStart"/>
            <w:r>
              <w:rPr>
                <w:rFonts w:ascii="Times New Roman" w:hAnsi="Times New Roman"/>
                <w:sz w:val="24"/>
              </w:rPr>
              <w:t>tīrvērti</w:t>
            </w:r>
            <w:proofErr w:type="spellEnd"/>
            <w:r>
              <w:rPr>
                <w:rFonts w:ascii="Times New Roman" w:hAnsi="Times New Roman"/>
                <w:sz w:val="24"/>
              </w:rPr>
              <w:t>, ar nosacījumu, ka minētie posteņi atbilst nosacījumiem, kas paredzēti Regulas (ES) Nr. 575/2013 306. panta 1. punkta c) apakšpunktā. Šo summu uzrāda ar 1,4 alfa faktoru, ko piemēro, kā norādīts Regulas (ES) Nr. 575/2013 274. panta 2. punktā.</w:t>
            </w:r>
          </w:p>
          <w:p w14:paraId="419E01C7" w14:textId="70A232D0" w:rsidR="00E1595A" w:rsidRPr="000B66BC" w:rsidRDefault="00E1595A" w:rsidP="000B66BC">
            <w:pPr>
              <w:pStyle w:val="BodyText1"/>
              <w:spacing w:after="240" w:line="240" w:lineRule="auto"/>
              <w:rPr>
                <w:rFonts w:ascii="Times New Roman" w:hAnsi="Times New Roman"/>
                <w:b/>
                <w:bCs/>
                <w:sz w:val="24"/>
                <w:szCs w:val="24"/>
              </w:rPr>
            </w:pPr>
            <w:r>
              <w:rPr>
                <w:rFonts w:ascii="Times New Roman" w:hAnsi="Times New Roman"/>
                <w:sz w:val="24"/>
              </w:rPr>
              <w:t>Šajā šūnā uzrādīto summu iestādes iekļauj arī {0103;0010} tā, it kā atbrīvojums nebūtu piemērojams.</w:t>
            </w:r>
          </w:p>
        </w:tc>
      </w:tr>
      <w:tr w:rsidR="00CB48CC" w:rsidRPr="00E75BB8" w14:paraId="28BF0347" w14:textId="77777777" w:rsidTr="008979D2">
        <w:trPr>
          <w:trHeight w:val="304"/>
        </w:trPr>
        <w:tc>
          <w:tcPr>
            <w:tcW w:w="1555" w:type="dxa"/>
            <w:gridSpan w:val="2"/>
          </w:tcPr>
          <w:p w14:paraId="313EA046" w14:textId="430415F9"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{0110;0010}</w:t>
            </w:r>
          </w:p>
          <w:p w14:paraId="4A976476"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2CF5E433" w14:textId="00E40A8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Atkāpe attiecībā uz atvasinātajiem instrumentiem: sākotnējās riska darījuma vērtības metode</w:t>
            </w:r>
          </w:p>
          <w:p w14:paraId="6E5CD50D" w14:textId="5B2D1AE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Regulas (ES) Nr. 575/2013 429.c panta 6. punkts un 282. pants.</w:t>
            </w:r>
          </w:p>
          <w:p w14:paraId="394FA10D" w14:textId="43C3B25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 xml:space="preserve">Šajā šūnā uzrāda Regulas (ES) Nr. 575/2013 II pielikuma 1. un 2. punktā uzskaitīto līgumu riska darījumu vērtības mēru, kas aprēķināts saskaņā ar </w:t>
            </w:r>
            <w:r>
              <w:rPr>
                <w:rFonts w:ascii="Times New Roman" w:hAnsi="Times New Roman"/>
                <w:sz w:val="24"/>
              </w:rPr>
              <w:lastRenderedPageBreak/>
              <w:t>sākotnējās riska darījuma vērtības metodi, kura izklāstīta Regulas (ES) Nr. 575/2013 282. pantā.</w:t>
            </w:r>
          </w:p>
          <w:p w14:paraId="0B0A4108" w14:textId="459E724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Iestādes, kas piemēro sākotnējās riska darījuma vērtības metodi, nesamazina kopējās riska darījumu vērtības mēru par drošības rezerves vērtību, kura saņemta saskaņā ar Regulas (ES) Nr. 575/2013 429.c panta 6. punktu.</w:t>
            </w:r>
          </w:p>
          <w:p w14:paraId="39B54B07" w14:textId="5E193AC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Iestādes, kuras neizmanto sākotnējās riska darījuma vērtības metodi, nesniedz pārskatu par šo šūnu.</w:t>
            </w:r>
          </w:p>
          <w:p w14:paraId="1981EF1E" w14:textId="08F03AC9" w:rsidR="00CB48CC" w:rsidRPr="000B66BC" w:rsidRDefault="00CB48CC" w:rsidP="000B66BC">
            <w:pPr>
              <w:pStyle w:val="BodyText1"/>
              <w:spacing w:after="240" w:line="240" w:lineRule="auto"/>
              <w:rPr>
                <w:rFonts w:ascii="Times New Roman" w:hAnsi="Times New Roman"/>
                <w:bCs/>
                <w:sz w:val="24"/>
                <w:szCs w:val="24"/>
                <w:u w:val="single"/>
              </w:rPr>
            </w:pPr>
            <w:r>
              <w:rPr>
                <w:rFonts w:ascii="Times New Roman" w:hAnsi="Times New Roman"/>
                <w:sz w:val="24"/>
              </w:rPr>
              <w:t xml:space="preserve">Šajā šūnā iestādes neņem vērā līgumus, kas novērtēti, piemērojot </w:t>
            </w:r>
            <w:r>
              <w:rPr>
                <w:rFonts w:ascii="Times New Roman" w:hAnsi="Times New Roman"/>
                <w:i/>
                <w:iCs/>
                <w:sz w:val="24"/>
              </w:rPr>
              <w:t>SA-CCR</w:t>
            </w:r>
            <w:r>
              <w:rPr>
                <w:rFonts w:ascii="Times New Roman" w:hAnsi="Times New Roman"/>
                <w:sz w:val="24"/>
              </w:rPr>
              <w:t xml:space="preserve"> vai vienkāršoto standartizēto pieeju.</w:t>
            </w:r>
          </w:p>
        </w:tc>
      </w:tr>
      <w:tr w:rsidR="00CB48CC" w:rsidRPr="00E75BB8" w14:paraId="3B7D8618" w14:textId="77777777" w:rsidTr="008979D2">
        <w:trPr>
          <w:trHeight w:val="304"/>
        </w:trPr>
        <w:tc>
          <w:tcPr>
            <w:tcW w:w="1555" w:type="dxa"/>
            <w:gridSpan w:val="2"/>
          </w:tcPr>
          <w:p w14:paraId="42ED892B" w14:textId="40D19137"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{0120;0010}</w:t>
            </w:r>
          </w:p>
        </w:tc>
        <w:tc>
          <w:tcPr>
            <w:tcW w:w="7566" w:type="dxa"/>
          </w:tcPr>
          <w:p w14:paraId="6FE290CC" w14:textId="030BF2BC"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xml:space="preserve">(–) Atbrīvotā </w:t>
            </w:r>
            <w:r>
              <w:rPr>
                <w:rFonts w:ascii="Times New Roman" w:hAnsi="Times New Roman"/>
                <w:b/>
                <w:i/>
                <w:iCs/>
                <w:sz w:val="24"/>
              </w:rPr>
              <w:t>CCP</w:t>
            </w:r>
            <w:r>
              <w:rPr>
                <w:rFonts w:ascii="Times New Roman" w:hAnsi="Times New Roman"/>
                <w:b/>
                <w:sz w:val="24"/>
              </w:rPr>
              <w:t xml:space="preserve"> daļa tirdzniecības riska darījumos ar klientu veiktu </w:t>
            </w:r>
            <w:proofErr w:type="spellStart"/>
            <w:r>
              <w:rPr>
                <w:rFonts w:ascii="Times New Roman" w:hAnsi="Times New Roman"/>
                <w:b/>
                <w:sz w:val="24"/>
              </w:rPr>
              <w:t>tīrvērti</w:t>
            </w:r>
            <w:proofErr w:type="spellEnd"/>
            <w:r>
              <w:rPr>
                <w:rFonts w:ascii="Times New Roman" w:hAnsi="Times New Roman"/>
                <w:b/>
                <w:sz w:val="24"/>
              </w:rPr>
              <w:t xml:space="preserve"> (sākotnējās riska darījumu vērtības metode)</w:t>
            </w:r>
          </w:p>
          <w:p w14:paraId="7A371D92" w14:textId="6A92D51F" w:rsidR="00CB48CC" w:rsidRPr="000B66BC" w:rsidRDefault="00803EDD" w:rsidP="000B66BC">
            <w:pPr>
              <w:pStyle w:val="BodyText1"/>
              <w:spacing w:after="240" w:line="240" w:lineRule="auto"/>
              <w:rPr>
                <w:rFonts w:ascii="Times New Roman" w:hAnsi="Times New Roman"/>
                <w:bCs/>
                <w:sz w:val="24"/>
                <w:szCs w:val="24"/>
              </w:rPr>
            </w:pPr>
            <w:r>
              <w:rPr>
                <w:rFonts w:ascii="Times New Roman" w:hAnsi="Times New Roman"/>
                <w:sz w:val="24"/>
              </w:rPr>
              <w:t>Regulas (ES) Nr. 575/2013 429.a panta 1. punkta g) apakšpunkts.</w:t>
            </w:r>
          </w:p>
          <w:p w14:paraId="6CD3BE79" w14:textId="0E1CDA1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 xml:space="preserve">Atbrīvotā </w:t>
            </w:r>
            <w:r>
              <w:rPr>
                <w:rFonts w:ascii="Times New Roman" w:hAnsi="Times New Roman"/>
                <w:i/>
                <w:iCs/>
                <w:sz w:val="24"/>
              </w:rPr>
              <w:t>CCP</w:t>
            </w:r>
            <w:r>
              <w:rPr>
                <w:rFonts w:ascii="Times New Roman" w:hAnsi="Times New Roman"/>
                <w:sz w:val="24"/>
              </w:rPr>
              <w:t xml:space="preserve"> daļa tirdzniecības riska darījumos ar klientu veiktu </w:t>
            </w:r>
            <w:proofErr w:type="spellStart"/>
            <w:r>
              <w:rPr>
                <w:rFonts w:ascii="Times New Roman" w:hAnsi="Times New Roman"/>
                <w:sz w:val="24"/>
              </w:rPr>
              <w:t>tīrvērti</w:t>
            </w:r>
            <w:proofErr w:type="spellEnd"/>
            <w:r>
              <w:rPr>
                <w:rFonts w:ascii="Times New Roman" w:hAnsi="Times New Roman"/>
                <w:sz w:val="24"/>
              </w:rPr>
              <w:t>, ja tiek piemērota Regulas (ES) Nr. 575/2013 282. pantā noteiktā sākotnējās riska darījuma vērtības metode, ar nosacījumu, ka minētie posteņi atbilst nosacījumiem, kas paredzēti Regulas (ES) Nr. 575/2013 306. panta 1. punkta c) apakšpunktā.</w:t>
            </w:r>
          </w:p>
          <w:p w14:paraId="18D8428B" w14:textId="6B3C879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Šajā šūnā uzrādīto summu iestādes iekļauj arī {0110;0010} tā, it kā atbrīvojums nebūtu piemērojams.</w:t>
            </w:r>
          </w:p>
        </w:tc>
      </w:tr>
      <w:tr w:rsidR="00CB48CC" w:rsidRPr="00E75BB8" w14:paraId="5029F8E7" w14:textId="77777777" w:rsidTr="008979D2">
        <w:trPr>
          <w:trHeight w:val="304"/>
        </w:trPr>
        <w:tc>
          <w:tcPr>
            <w:tcW w:w="1555" w:type="dxa"/>
            <w:gridSpan w:val="2"/>
          </w:tcPr>
          <w:p w14:paraId="598E1804" w14:textId="33506324"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{0130;0010}</w:t>
            </w:r>
          </w:p>
        </w:tc>
        <w:tc>
          <w:tcPr>
            <w:tcW w:w="7566" w:type="dxa"/>
          </w:tcPr>
          <w:p w14:paraId="0ECB889E" w14:textId="0C2B43C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Pārdoto kredītu atvasināto instrumentu nosacītās summas maksimālā vērtība</w:t>
            </w:r>
          </w:p>
          <w:p w14:paraId="3144DF47" w14:textId="03E6EFAF"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Regulas (ES) Nr. 575/2013 429.d pants.</w:t>
            </w:r>
          </w:p>
          <w:p w14:paraId="7435D499" w14:textId="4D85CBD0" w:rsidR="00CB48CC" w:rsidRPr="000B66BC" w:rsidRDefault="00E75BB8" w:rsidP="000B66BC">
            <w:pPr>
              <w:pStyle w:val="BodyText1"/>
              <w:spacing w:after="240" w:line="240" w:lineRule="auto"/>
              <w:rPr>
                <w:rFonts w:ascii="Times New Roman" w:hAnsi="Times New Roman"/>
                <w:bCs/>
                <w:sz w:val="24"/>
                <w:szCs w:val="24"/>
              </w:rPr>
            </w:pPr>
            <w:r>
              <w:rPr>
                <w:rFonts w:ascii="Times New Roman" w:hAnsi="Times New Roman"/>
                <w:sz w:val="24"/>
              </w:rPr>
              <w:t>Iestādes nosaka 429.d panta 1. punktā definēto pārdoto kredītu atvasināto instrumentu maksimālo nosacīto summu saskaņā ar Regulas (ES) Nr. 575/2013 429.d pantu.</w:t>
            </w:r>
          </w:p>
        </w:tc>
      </w:tr>
      <w:tr w:rsidR="00CB48CC" w:rsidRPr="00E75BB8" w14:paraId="5DA0B9DC" w14:textId="77777777" w:rsidTr="008979D2">
        <w:trPr>
          <w:trHeight w:val="304"/>
        </w:trPr>
        <w:tc>
          <w:tcPr>
            <w:tcW w:w="1555" w:type="dxa"/>
            <w:gridSpan w:val="2"/>
          </w:tcPr>
          <w:p w14:paraId="753E918D" w14:textId="3CA2220D"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{0140;0010}</w:t>
            </w:r>
          </w:p>
        </w:tc>
        <w:tc>
          <w:tcPr>
            <w:tcW w:w="7566" w:type="dxa"/>
          </w:tcPr>
          <w:p w14:paraId="7C62D40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Atbilstoši nopirktie kredītu atvasinātie instrumenti, kas ieskaitīti pret pārdotajiem kredītu atvasinātajiem instrumentiem</w:t>
            </w:r>
          </w:p>
          <w:p w14:paraId="64C8DF12" w14:textId="20E8D018"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Regulas (ES) Nr. 575/2013 429.d pants.</w:t>
            </w:r>
          </w:p>
          <w:p w14:paraId="444D1EBB" w14:textId="45DE543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 xml:space="preserve">Nopirkto kredītu atvasināto instrumentu nosacītās summas maksimālā vērtība (t. i., ja iestāde pērk </w:t>
            </w:r>
            <w:proofErr w:type="spellStart"/>
            <w:r>
              <w:rPr>
                <w:rFonts w:ascii="Times New Roman" w:hAnsi="Times New Roman"/>
                <w:sz w:val="24"/>
              </w:rPr>
              <w:t>kredītaizsardzību</w:t>
            </w:r>
            <w:proofErr w:type="spellEnd"/>
            <w:r>
              <w:rPr>
                <w:rFonts w:ascii="Times New Roman" w:hAnsi="Times New Roman"/>
                <w:sz w:val="24"/>
              </w:rPr>
              <w:t xml:space="preserve"> no darījuma partnera) attiecībā uz tādiem pašiem atsauces nosaukumiem kā tie kredītu atvasinātie instrumenti, kurus pārdevusi iestāde, ja nopirktās </w:t>
            </w:r>
            <w:proofErr w:type="spellStart"/>
            <w:r>
              <w:rPr>
                <w:rFonts w:ascii="Times New Roman" w:hAnsi="Times New Roman"/>
                <w:sz w:val="24"/>
              </w:rPr>
              <w:t>kredītaizsardzības</w:t>
            </w:r>
            <w:proofErr w:type="spellEnd"/>
            <w:r>
              <w:rPr>
                <w:rFonts w:ascii="Times New Roman" w:hAnsi="Times New Roman"/>
                <w:sz w:val="24"/>
              </w:rPr>
              <w:t xml:space="preserve"> termiņš ir vienāds vai lielāks par pārdotās aizsardzības atlikušo termiņu. Līdz ar to šī vērtība nepārsniedz vērtību, kas katram atsauces nosaukumam uzrādīta {0130;0010}.</w:t>
            </w:r>
          </w:p>
        </w:tc>
      </w:tr>
      <w:tr w:rsidR="00CB48CC" w:rsidRPr="00E75BB8" w14:paraId="31F41404" w14:textId="77777777" w:rsidTr="008979D2">
        <w:trPr>
          <w:trHeight w:val="983"/>
        </w:trPr>
        <w:tc>
          <w:tcPr>
            <w:tcW w:w="1555" w:type="dxa"/>
            <w:gridSpan w:val="2"/>
          </w:tcPr>
          <w:p w14:paraId="7A070329" w14:textId="158316A9"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{0150;0010}</w:t>
            </w:r>
          </w:p>
          <w:p w14:paraId="7A113EB7"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4E086B7E" w14:textId="00B684E8"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xml:space="preserve">Ārpusbilances posteņi ar 10 % </w:t>
            </w:r>
            <w:r>
              <w:rPr>
                <w:rFonts w:ascii="Times New Roman" w:hAnsi="Times New Roman"/>
                <w:b/>
                <w:i/>
                <w:iCs/>
                <w:sz w:val="24"/>
              </w:rPr>
              <w:t>CCF</w:t>
            </w:r>
            <w:r>
              <w:rPr>
                <w:rFonts w:ascii="Times New Roman" w:hAnsi="Times New Roman"/>
                <w:b/>
                <w:sz w:val="24"/>
              </w:rPr>
              <w:t xml:space="preserve"> saskaņā ar KPR 429.f pantu</w:t>
            </w:r>
          </w:p>
          <w:p w14:paraId="7C110152" w14:textId="2049FE67" w:rsidR="00CB48CC" w:rsidRPr="003D12C1" w:rsidRDefault="00867B43" w:rsidP="000B66BC">
            <w:pPr>
              <w:pStyle w:val="BodyText1"/>
              <w:spacing w:after="240" w:line="240" w:lineRule="auto"/>
              <w:rPr>
                <w:rFonts w:ascii="Times New Roman" w:hAnsi="Times New Roman"/>
                <w:bCs/>
                <w:sz w:val="24"/>
                <w:szCs w:val="24"/>
              </w:rPr>
            </w:pPr>
            <w:r>
              <w:rPr>
                <w:rFonts w:ascii="Times New Roman" w:hAnsi="Times New Roman"/>
                <w:sz w:val="24"/>
              </w:rPr>
              <w:t>Riska darījuma vērtība saskaņā ar Regulas (ES) Nr. 575/2013 429.f pantu, 111. panta 2. punkta e) apakšpunktu un 111. panta 3. punktu.</w:t>
            </w:r>
          </w:p>
          <w:p w14:paraId="6707D5C8" w14:textId="795C2D7D" w:rsidR="00494A67" w:rsidRPr="003D12C1" w:rsidRDefault="00406DB7" w:rsidP="000B66BC">
            <w:pPr>
              <w:pStyle w:val="BodyText1"/>
              <w:spacing w:after="240" w:line="240" w:lineRule="auto"/>
              <w:rPr>
                <w:rFonts w:ascii="Times New Roman" w:hAnsi="Times New Roman"/>
                <w:bCs/>
                <w:sz w:val="24"/>
                <w:szCs w:val="24"/>
              </w:rPr>
            </w:pPr>
            <w:r>
              <w:rPr>
                <w:rFonts w:ascii="Times New Roman" w:hAnsi="Times New Roman"/>
                <w:sz w:val="24"/>
              </w:rPr>
              <w:t xml:space="preserve"> Regula (ES) Nr. 575/2013 </w:t>
            </w:r>
          </w:p>
          <w:p w14:paraId="7057DD3E" w14:textId="18CCDCA2"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 xml:space="preserve">Atgādinājumam — nominālvērtību nesamazina ar specifiskām kredītriska korekcijām pirms </w:t>
            </w:r>
            <w:r>
              <w:rPr>
                <w:rFonts w:ascii="Times New Roman" w:hAnsi="Times New Roman"/>
                <w:i/>
                <w:iCs/>
                <w:sz w:val="24"/>
              </w:rPr>
              <w:t>CCF</w:t>
            </w:r>
            <w:r>
              <w:rPr>
                <w:rFonts w:ascii="Times New Roman" w:hAnsi="Times New Roman"/>
                <w:sz w:val="24"/>
              </w:rPr>
              <w:t xml:space="preserve"> piemērošanas.</w:t>
            </w:r>
            <w:r>
              <w:rPr>
                <w:sz w:val="24"/>
              </w:rPr>
              <w:t xml:space="preserve"> </w:t>
            </w:r>
            <w:r>
              <w:rPr>
                <w:rFonts w:ascii="Times New Roman" w:hAnsi="Times New Roman"/>
                <w:sz w:val="24"/>
              </w:rPr>
              <w:t>Saskaņā ar 429.f panta 2. punktu iestādes var samazināt ārpusbilances posteņa kredītriska ekvivalento summu par attiecīgo specifisko kredītriska korekciju summu. Šim aprēķinam piemēro nulles minimālo vērtību.</w:t>
            </w:r>
          </w:p>
          <w:p w14:paraId="34359CD8" w14:textId="4FC2CED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Ja saistības attiecas uz cita ārpusbilances posteņa paplašināšanu, saskaņā ar Regulas (ES) Nr. 575/2013 111. panta 3. punktu izmanto zemāko no divām korekcijas pakāpēm (saistītas ar posteni, par kuru ir uzņemtas saistības, vai uzņemto saistību veidu).</w:t>
            </w:r>
          </w:p>
          <w:p w14:paraId="39DFADB3" w14:textId="3712D59A" w:rsidR="00CB48CC" w:rsidRDefault="00CB48CC" w:rsidP="0061658B">
            <w:pPr>
              <w:pStyle w:val="BodyText1"/>
              <w:spacing w:after="240"/>
              <w:rPr>
                <w:rFonts w:ascii="Times New Roman" w:hAnsi="Times New Roman"/>
                <w:bCs/>
                <w:sz w:val="24"/>
                <w:szCs w:val="24"/>
              </w:rPr>
            </w:pPr>
            <w:r>
              <w:rPr>
                <w:rFonts w:ascii="Times New Roman" w:hAnsi="Times New Roman"/>
                <w:sz w:val="24"/>
              </w:rPr>
              <w:t>Šajā šūnā iestādes neņem vērā Regulas (ES) Nr. 575/2013 II pielikumā uzskaitītos kredītu atvasinātos instrumentus, VFD un pozīcijas, kas minētas 429.d pantā, saskaņā ar Regulas (ES) Nr. 575/2013 429.f pantu.</w:t>
            </w:r>
          </w:p>
          <w:p w14:paraId="2398A4B9" w14:textId="5CEEC100" w:rsidR="004B1D31" w:rsidRPr="000B66BC" w:rsidRDefault="004B1D31" w:rsidP="0061658B">
            <w:pPr>
              <w:pStyle w:val="BodyText1"/>
              <w:spacing w:after="240"/>
              <w:rPr>
                <w:rFonts w:ascii="Times New Roman" w:hAnsi="Times New Roman"/>
                <w:sz w:val="24"/>
                <w:szCs w:val="24"/>
              </w:rPr>
            </w:pPr>
            <w:r>
              <w:rPr>
                <w:rFonts w:ascii="Times New Roman" w:hAnsi="Times New Roman"/>
                <w:sz w:val="24"/>
              </w:rPr>
              <w:t>Iestādes</w:t>
            </w:r>
            <w:r>
              <w:rPr>
                <w:rFonts w:ascii="Times New Roman" w:hAnsi="Times New Roman"/>
                <w:i/>
                <w:iCs/>
                <w:sz w:val="24"/>
              </w:rPr>
              <w:t xml:space="preserve"> UCC</w:t>
            </w:r>
            <w:r>
              <w:rPr>
                <w:rFonts w:ascii="Times New Roman" w:hAnsi="Times New Roman"/>
                <w:sz w:val="24"/>
              </w:rPr>
              <w:t xml:space="preserve"> piemēro kredīta korekcijas pakāpi 10 % apmērā saskaņā ar 429.f panta 3. punktu.</w:t>
            </w:r>
            <w:r>
              <w:rPr>
                <w:rFonts w:ascii="Times New Roman" w:hAnsi="Times New Roman"/>
                <w:color w:val="auto"/>
                <w:sz w:val="24"/>
              </w:rPr>
              <w:t xml:space="preserve"> </w:t>
            </w:r>
          </w:p>
        </w:tc>
      </w:tr>
      <w:tr w:rsidR="00CB48CC" w:rsidRPr="00E75BB8" w14:paraId="736A5471" w14:textId="77777777" w:rsidTr="008979D2">
        <w:trPr>
          <w:trHeight w:val="712"/>
        </w:trPr>
        <w:tc>
          <w:tcPr>
            <w:tcW w:w="1555" w:type="dxa"/>
            <w:gridSpan w:val="2"/>
          </w:tcPr>
          <w:p w14:paraId="7BB0A9E0" w14:textId="321744DC"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{0160;0010}</w:t>
            </w:r>
          </w:p>
        </w:tc>
        <w:tc>
          <w:tcPr>
            <w:tcW w:w="7566" w:type="dxa"/>
          </w:tcPr>
          <w:p w14:paraId="079FCB69" w14:textId="5B79425E"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Ārpusbilances posteņi ar 20 % </w:t>
            </w:r>
            <w:r>
              <w:rPr>
                <w:rFonts w:ascii="Times New Roman" w:hAnsi="Times New Roman"/>
                <w:b/>
                <w:i/>
                <w:iCs/>
                <w:sz w:val="24"/>
              </w:rPr>
              <w:t>CCF</w:t>
            </w:r>
            <w:r>
              <w:rPr>
                <w:rFonts w:ascii="Times New Roman" w:hAnsi="Times New Roman"/>
                <w:b/>
                <w:sz w:val="24"/>
              </w:rPr>
              <w:t xml:space="preserve"> saskaņā ar KPR 429.f pantu</w:t>
            </w:r>
          </w:p>
          <w:p w14:paraId="1808F2C6" w14:textId="505700F8" w:rsidR="00CB48CC" w:rsidRPr="000B66BC" w:rsidRDefault="004127BF" w:rsidP="000B66BC">
            <w:pPr>
              <w:pStyle w:val="BodyText1"/>
              <w:spacing w:after="240" w:line="240" w:lineRule="auto"/>
              <w:rPr>
                <w:rFonts w:ascii="Times New Roman" w:hAnsi="Times New Roman"/>
                <w:bCs/>
                <w:sz w:val="24"/>
                <w:szCs w:val="24"/>
              </w:rPr>
            </w:pPr>
            <w:r>
              <w:rPr>
                <w:rFonts w:ascii="Times New Roman" w:hAnsi="Times New Roman"/>
                <w:sz w:val="24"/>
              </w:rPr>
              <w:t>Riska darījuma vērtība saskaņā ar Regulas (ES) Nr. 575/2013 429.f pantu, 111. panta 2. punkta d) apakšpunktu un 111. panta 3. punktu.</w:t>
            </w:r>
          </w:p>
          <w:p w14:paraId="130864F0" w14:textId="06C16CD6" w:rsidR="00CB48CC" w:rsidRPr="000B66BC" w:rsidRDefault="00406DB7" w:rsidP="000B66BC">
            <w:pPr>
              <w:pStyle w:val="BodyText1"/>
              <w:spacing w:after="240" w:line="240" w:lineRule="auto"/>
              <w:rPr>
                <w:rFonts w:ascii="Times New Roman" w:hAnsi="Times New Roman"/>
                <w:bCs/>
                <w:sz w:val="24"/>
                <w:szCs w:val="24"/>
              </w:rPr>
            </w:pPr>
            <w:r>
              <w:rPr>
                <w:rFonts w:ascii="Times New Roman" w:hAnsi="Times New Roman"/>
                <w:sz w:val="24"/>
              </w:rPr>
              <w:t xml:space="preserve"> Regula (ES) Nr. 575/2013 atgādinājumam, ka nominālvērtību nevar samazināt ar specifiskām kredītriska korekcijām pirms kredīta korekcijas pakāpes piemērošanas. Saskaņā ar 429.f panta 2. punktu iestādes var samazināt ārpusbilances posteņa kredītriska ekvivalento summu par attiecīgo specifisko kredītriska korekciju summu. Šim aprēķinam piemēro nulles minimālo vērtību.</w:t>
            </w:r>
          </w:p>
          <w:p w14:paraId="771B332A" w14:textId="4AB3716F"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Ja saistības attiecas uz cita ārpusbilances posteņa paplašināšanu, saskaņā ar Regulas (ES) Nr. 575/2013 111. panta 3. punktu izmanto zemāko no divām korekcijas pakāpēm (saistītas ar posteni, par kuru ir uzņemtas saistības, vai uzņemto saistību veidu).</w:t>
            </w:r>
          </w:p>
          <w:p w14:paraId="6986CCC3" w14:textId="4845021E" w:rsidR="003A5EB5"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Šajā šūnā iestādes neņem vērā Regulas (ES) Nr. 575/2013 II pielikumā uzskaitītos kredītu atvasinātos instrumentus, VFD un pozīcijas, kas minētas 429.d pantā, saskaņā ar Regulas (ES) Nr. 575/2013 429.f pantu.</w:t>
            </w:r>
          </w:p>
        </w:tc>
      </w:tr>
      <w:tr w:rsidR="00B64E88" w:rsidRPr="00E75BB8" w14:paraId="5D75FFBF" w14:textId="77777777" w:rsidTr="008979D2">
        <w:trPr>
          <w:trHeight w:val="304"/>
        </w:trPr>
        <w:tc>
          <w:tcPr>
            <w:tcW w:w="1555" w:type="dxa"/>
            <w:gridSpan w:val="2"/>
          </w:tcPr>
          <w:p w14:paraId="0E3E0D10" w14:textId="6E0627B6" w:rsidR="00B64E88" w:rsidRPr="000B66BC" w:rsidRDefault="00B64E88" w:rsidP="000B66BC">
            <w:pPr>
              <w:pStyle w:val="BodyText1"/>
              <w:spacing w:after="240"/>
              <w:rPr>
                <w:rFonts w:ascii="Times New Roman" w:hAnsi="Times New Roman"/>
                <w:bCs/>
                <w:sz w:val="24"/>
                <w:szCs w:val="24"/>
              </w:rPr>
            </w:pPr>
            <w:r>
              <w:rPr>
                <w:rFonts w:ascii="Times New Roman" w:hAnsi="Times New Roman"/>
                <w:sz w:val="24"/>
              </w:rPr>
              <w:t>{0165;0010}</w:t>
            </w:r>
          </w:p>
        </w:tc>
        <w:tc>
          <w:tcPr>
            <w:tcW w:w="7566" w:type="dxa"/>
          </w:tcPr>
          <w:p w14:paraId="2CE0BE47" w14:textId="1A6F01F5" w:rsidR="00B64E88" w:rsidRDefault="00412D6E"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Ārpusbilances posteņi ar 40 % </w:t>
            </w:r>
            <w:r>
              <w:rPr>
                <w:rFonts w:ascii="Times New Roman" w:hAnsi="Times New Roman"/>
                <w:b/>
                <w:i/>
                <w:iCs/>
                <w:sz w:val="24"/>
              </w:rPr>
              <w:t>CCF</w:t>
            </w:r>
            <w:r>
              <w:rPr>
                <w:rFonts w:ascii="Times New Roman" w:hAnsi="Times New Roman"/>
                <w:b/>
                <w:sz w:val="24"/>
              </w:rPr>
              <w:t xml:space="preserve"> saskaņā ar KPR 429.f pantu</w:t>
            </w:r>
          </w:p>
          <w:p w14:paraId="733C45E6" w14:textId="419DBB23" w:rsidR="00DF7B01" w:rsidRPr="00012719" w:rsidRDefault="004127BF" w:rsidP="005A5E25">
            <w:pPr>
              <w:pStyle w:val="BodyText1"/>
              <w:spacing w:before="240" w:line="276" w:lineRule="auto"/>
              <w:rPr>
                <w:rFonts w:ascii="Times New Roman" w:hAnsi="Times New Roman"/>
                <w:bCs/>
                <w:sz w:val="24"/>
                <w:szCs w:val="24"/>
              </w:rPr>
            </w:pPr>
            <w:r>
              <w:rPr>
                <w:rFonts w:ascii="Times New Roman" w:hAnsi="Times New Roman"/>
                <w:sz w:val="24"/>
              </w:rPr>
              <w:t>Riska darījuma vērtība saskaņā ar Regulas (ES) Nr. 575/2013 429.f pantu, 111. panta 2. punkta c) apakšpunktu un 111. panta 3. punktu.</w:t>
            </w:r>
          </w:p>
          <w:p w14:paraId="0E51A0A8" w14:textId="11457FFC" w:rsidR="000D5576" w:rsidRPr="000B66BC" w:rsidRDefault="000D5576" w:rsidP="005A5E25">
            <w:pPr>
              <w:pStyle w:val="BodyText1"/>
              <w:spacing w:before="240" w:after="240" w:line="276" w:lineRule="auto"/>
              <w:rPr>
                <w:rFonts w:ascii="Times New Roman" w:hAnsi="Times New Roman"/>
                <w:bCs/>
                <w:sz w:val="24"/>
                <w:szCs w:val="24"/>
              </w:rPr>
            </w:pPr>
            <w:r>
              <w:rPr>
                <w:rFonts w:ascii="Times New Roman" w:hAnsi="Times New Roman"/>
                <w:sz w:val="24"/>
              </w:rPr>
              <w:lastRenderedPageBreak/>
              <w:t>Atgādinājumam – nominālvērtību nevar samazināt ar specifiskām kredītriska korekcijām pirms kredīta korekcijas pakāpes piemērošanas. Saskaņā ar 429.f panta 2. punktu iestādes var samazināt ārpusbilances posteņa kredītriska ekvivalento summu par attiecīgo specifisko kredītriska korekciju summu. Šim aprēķinam piemēro nulles minimālo vērtību.</w:t>
            </w:r>
          </w:p>
          <w:p w14:paraId="76BB5F85" w14:textId="192A0C50" w:rsidR="000D5576" w:rsidRPr="000B66BC" w:rsidRDefault="000D5576" w:rsidP="000D5576">
            <w:pPr>
              <w:pStyle w:val="BodyText1"/>
              <w:spacing w:after="240" w:line="240" w:lineRule="auto"/>
              <w:rPr>
                <w:rFonts w:ascii="Times New Roman" w:hAnsi="Times New Roman"/>
                <w:bCs/>
                <w:sz w:val="24"/>
                <w:szCs w:val="24"/>
              </w:rPr>
            </w:pPr>
            <w:r>
              <w:rPr>
                <w:rFonts w:ascii="Times New Roman" w:hAnsi="Times New Roman"/>
                <w:sz w:val="24"/>
              </w:rPr>
              <w:t>Ja saistības attiecas uz cita ārpusbilances posteņa paplašināšanu, saskaņā ar Regulas (ES) Nr. 575/2013 111. panta 3. punktu izmanto zemāko no divām korekcijas pakāpēm (saistītas ar posteni, par kuru ir uzņemtas saistības, vai uzņemto saistību veidu).</w:t>
            </w:r>
          </w:p>
          <w:p w14:paraId="7D87CAA4" w14:textId="5E43F9DD" w:rsidR="000D5576" w:rsidRPr="000B66BC" w:rsidRDefault="000D5576" w:rsidP="000D5576">
            <w:pPr>
              <w:pStyle w:val="BodyText1"/>
              <w:spacing w:after="240" w:line="240" w:lineRule="auto"/>
              <w:rPr>
                <w:rFonts w:ascii="Times New Roman" w:hAnsi="Times New Roman"/>
                <w:b/>
                <w:bCs/>
                <w:sz w:val="24"/>
                <w:szCs w:val="24"/>
              </w:rPr>
            </w:pPr>
            <w:r>
              <w:rPr>
                <w:rFonts w:ascii="Times New Roman" w:hAnsi="Times New Roman"/>
                <w:sz w:val="24"/>
              </w:rPr>
              <w:t>Šajā šūnā iestādes neņem vērā Regulas (ES) Nr. 575/2013 II pielikumā uzskaitītos kredītu atvasinātos instrumentus, VFD un pozīcijas, kas minētas 429.d pantā, saskaņā ar Regulas (ES) Nr. 575/2013 429.f pantu.</w:t>
            </w:r>
          </w:p>
        </w:tc>
      </w:tr>
      <w:tr w:rsidR="00CB48CC" w:rsidRPr="00E75BB8" w14:paraId="3354B9C5" w14:textId="77777777" w:rsidTr="008979D2">
        <w:trPr>
          <w:trHeight w:val="304"/>
        </w:trPr>
        <w:tc>
          <w:tcPr>
            <w:tcW w:w="1555" w:type="dxa"/>
            <w:gridSpan w:val="2"/>
          </w:tcPr>
          <w:p w14:paraId="513659B4" w14:textId="6E2AF11C"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{0170;0010}</w:t>
            </w:r>
          </w:p>
          <w:p w14:paraId="2D1C2289"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2B65BAF0" w14:textId="70D57BA8"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Ārpusbilances posteņi ar 50 % </w:t>
            </w:r>
            <w:r>
              <w:rPr>
                <w:rFonts w:ascii="Times New Roman" w:hAnsi="Times New Roman"/>
                <w:b/>
                <w:i/>
                <w:iCs/>
                <w:sz w:val="24"/>
              </w:rPr>
              <w:t>CCF</w:t>
            </w:r>
            <w:r>
              <w:rPr>
                <w:rFonts w:ascii="Times New Roman" w:hAnsi="Times New Roman"/>
                <w:b/>
                <w:sz w:val="24"/>
              </w:rPr>
              <w:t xml:space="preserve"> saskaņā ar KPR 429.f pantu</w:t>
            </w:r>
          </w:p>
          <w:p w14:paraId="7DA0F3D2" w14:textId="575D7B68" w:rsidR="00CB48CC" w:rsidRPr="000B66BC" w:rsidRDefault="004127BF" w:rsidP="000B66BC">
            <w:pPr>
              <w:pStyle w:val="BodyText1"/>
              <w:spacing w:after="240" w:line="240" w:lineRule="auto"/>
              <w:rPr>
                <w:rFonts w:ascii="Times New Roman" w:hAnsi="Times New Roman"/>
                <w:bCs/>
                <w:sz w:val="24"/>
                <w:szCs w:val="24"/>
              </w:rPr>
            </w:pPr>
            <w:r>
              <w:rPr>
                <w:rFonts w:ascii="Times New Roman" w:hAnsi="Times New Roman"/>
                <w:sz w:val="24"/>
              </w:rPr>
              <w:t>Riska darījuma vērtība saskaņā ar Regulas (ES) Nr. 575/2013 429.f pantu, 111. panta 2. punkta b) apakšpunktu un 111. panta 3. punktu.</w:t>
            </w:r>
          </w:p>
          <w:p w14:paraId="512D74AD" w14:textId="0B92D63F" w:rsidR="00CB48CC" w:rsidRPr="000B66BC" w:rsidRDefault="00406DB7" w:rsidP="000B66BC">
            <w:pPr>
              <w:pStyle w:val="BodyText1"/>
              <w:spacing w:after="240" w:line="240" w:lineRule="auto"/>
              <w:rPr>
                <w:rFonts w:ascii="Times New Roman" w:hAnsi="Times New Roman"/>
                <w:bCs/>
                <w:sz w:val="24"/>
                <w:szCs w:val="24"/>
              </w:rPr>
            </w:pPr>
            <w:r>
              <w:rPr>
                <w:rFonts w:ascii="Times New Roman" w:hAnsi="Times New Roman"/>
                <w:sz w:val="24"/>
              </w:rPr>
              <w:t xml:space="preserve"> Regula (ES) Nr. 575/2013 atgādinājumam, ka nominālvērtību nevar samazināt ar specifiskām kredītriska korekcijām pirms </w:t>
            </w:r>
            <w:r>
              <w:rPr>
                <w:rFonts w:ascii="Times New Roman" w:hAnsi="Times New Roman"/>
                <w:i/>
                <w:iCs/>
                <w:sz w:val="24"/>
              </w:rPr>
              <w:t>CCF</w:t>
            </w:r>
            <w:r>
              <w:rPr>
                <w:rFonts w:ascii="Times New Roman" w:hAnsi="Times New Roman"/>
                <w:sz w:val="24"/>
              </w:rPr>
              <w:t xml:space="preserve"> </w:t>
            </w:r>
            <w:proofErr w:type="spellStart"/>
            <w:r>
              <w:rPr>
                <w:rFonts w:ascii="Times New Roman" w:hAnsi="Times New Roman"/>
                <w:sz w:val="24"/>
              </w:rPr>
              <w:t>piemērošanas.Saskaņā</w:t>
            </w:r>
            <w:proofErr w:type="spellEnd"/>
            <w:r>
              <w:rPr>
                <w:rFonts w:ascii="Times New Roman" w:hAnsi="Times New Roman"/>
                <w:sz w:val="24"/>
              </w:rPr>
              <w:t xml:space="preserve"> ar 429.f panta 2. punktu iestādes var samazināt ārpusbilances posteņa kredītriska ekvivalento summu par attiecīgo specifisko kredītriska korekciju summu. Šim aprēķinam piemēro nulles minimālo vērtību.</w:t>
            </w:r>
          </w:p>
          <w:p w14:paraId="116B0E4F" w14:textId="1B31E16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 xml:space="preserve">Šajā šūnā iekļauj likviditātes iespējas un citus piešķīrumus attiecībā uz </w:t>
            </w:r>
            <w:proofErr w:type="spellStart"/>
            <w:r>
              <w:rPr>
                <w:rFonts w:ascii="Times New Roman" w:hAnsi="Times New Roman"/>
                <w:sz w:val="24"/>
              </w:rPr>
              <w:t>vērtspapīrošanu</w:t>
            </w:r>
            <w:proofErr w:type="spellEnd"/>
            <w:r>
              <w:rPr>
                <w:rFonts w:ascii="Times New Roman" w:hAnsi="Times New Roman"/>
                <w:sz w:val="24"/>
              </w:rPr>
              <w:t xml:space="preserve">. Citiem vārdiem sakot, </w:t>
            </w:r>
            <w:r>
              <w:rPr>
                <w:rFonts w:ascii="Times New Roman" w:hAnsi="Times New Roman"/>
                <w:i/>
                <w:iCs/>
                <w:sz w:val="24"/>
              </w:rPr>
              <w:t>CCF</w:t>
            </w:r>
            <w:r>
              <w:rPr>
                <w:rFonts w:ascii="Times New Roman" w:hAnsi="Times New Roman"/>
                <w:sz w:val="24"/>
              </w:rPr>
              <w:t xml:space="preserve"> visām likviditātes iespējām saskaņā ar Regulas (ES) Nr. 575/2013 255. pantu ir 50 % neatkarīgi no termiņa.</w:t>
            </w:r>
          </w:p>
          <w:p w14:paraId="4339295A" w14:textId="1AC63CC8"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Ja saistības attiecas uz cita ārpusbilances posteņa paplašināšanu, saskaņā ar Regulas (ES) Nr. 575/2013 111. panta 3. punktu izmanto zemāko no divām korekcijas pakāpēm (saistītas ar posteni, par kuru ir uzņemtas saistības, vai uzņemto saistību veidu).</w:t>
            </w:r>
          </w:p>
          <w:p w14:paraId="6DDC311B" w14:textId="77CB6B51"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Šajā šūnā iestādes neņem vērā Regulas (ES) Nr. 575/2013 II pielikumā uzskaitītos kredītu atvasinātos instrumentus, VFD un pozīcijas, kas minētas 429.d pantā, saskaņā ar Regulas (ES) Nr. 575/2013 429.f pantu.</w:t>
            </w:r>
          </w:p>
        </w:tc>
      </w:tr>
      <w:tr w:rsidR="00CB48CC" w:rsidRPr="00E75BB8" w14:paraId="0A0BB45E" w14:textId="77777777" w:rsidTr="008979D2">
        <w:trPr>
          <w:trHeight w:val="304"/>
        </w:trPr>
        <w:tc>
          <w:tcPr>
            <w:tcW w:w="1555" w:type="dxa"/>
            <w:gridSpan w:val="2"/>
            <w:tcBorders>
              <w:bottom w:val="single" w:sz="4" w:space="0" w:color="auto"/>
            </w:tcBorders>
          </w:tcPr>
          <w:p w14:paraId="546786C4" w14:textId="1D71B0CD"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{0180;0010}</w:t>
            </w:r>
          </w:p>
          <w:p w14:paraId="22AA02FE"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F41926D" w14:textId="591860B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xml:space="preserve">Ārpusbilances posteņi ar 100 % </w:t>
            </w:r>
            <w:r>
              <w:rPr>
                <w:rFonts w:ascii="Times New Roman" w:hAnsi="Times New Roman"/>
                <w:b/>
                <w:i/>
                <w:iCs/>
                <w:sz w:val="24"/>
              </w:rPr>
              <w:t>CCF</w:t>
            </w:r>
            <w:r>
              <w:rPr>
                <w:rFonts w:ascii="Times New Roman" w:hAnsi="Times New Roman"/>
                <w:b/>
                <w:sz w:val="24"/>
              </w:rPr>
              <w:t xml:space="preserve"> saskaņā ar KPR 429.f pantu </w:t>
            </w:r>
          </w:p>
          <w:p w14:paraId="603EE80E" w14:textId="5805ED8A" w:rsidR="00CB48CC" w:rsidRPr="000B66BC" w:rsidRDefault="00D3062A" w:rsidP="000B66BC">
            <w:pPr>
              <w:pStyle w:val="BodyText1"/>
              <w:spacing w:after="240" w:line="240" w:lineRule="auto"/>
              <w:rPr>
                <w:rFonts w:ascii="Times New Roman" w:hAnsi="Times New Roman"/>
                <w:bCs/>
                <w:sz w:val="24"/>
                <w:szCs w:val="24"/>
              </w:rPr>
            </w:pPr>
            <w:r>
              <w:rPr>
                <w:rFonts w:ascii="Times New Roman" w:hAnsi="Times New Roman"/>
                <w:sz w:val="24"/>
              </w:rPr>
              <w:t>Riska darījuma vērtība saskaņā ar Regulas (ES) Nr. 575/2013 429.f pantu, 111. panta 2. punkta a) apakšpunktu un 111. panta 3. punktu.</w:t>
            </w:r>
          </w:p>
          <w:p w14:paraId="02A01DC2" w14:textId="1E1A0970" w:rsidR="00CB48CC" w:rsidRPr="000B66BC" w:rsidRDefault="00406DB7" w:rsidP="000B66BC">
            <w:pPr>
              <w:pStyle w:val="BodyText1"/>
              <w:spacing w:after="240" w:line="240" w:lineRule="auto"/>
              <w:rPr>
                <w:rFonts w:ascii="Times New Roman" w:hAnsi="Times New Roman"/>
                <w:bCs/>
                <w:sz w:val="24"/>
                <w:szCs w:val="24"/>
              </w:rPr>
            </w:pPr>
            <w:r>
              <w:rPr>
                <w:rFonts w:ascii="Times New Roman" w:hAnsi="Times New Roman"/>
                <w:sz w:val="24"/>
              </w:rPr>
              <w:t xml:space="preserve"> Regula (ES) Nr. 575/2013 atgādinājumam, ka nominālvērtību nevar samazināt ar specifiskām kredītriska korekcijām pirms kredīta korekcijas pakāpes piemērošanas. Saskaņā ar 429.f panta 2. punktu iestādes var </w:t>
            </w:r>
            <w:r>
              <w:rPr>
                <w:rFonts w:ascii="Times New Roman" w:hAnsi="Times New Roman"/>
                <w:sz w:val="24"/>
              </w:rPr>
              <w:lastRenderedPageBreak/>
              <w:t>samazināt ārpusbilances posteņa kredītriska ekvivalento summu par attiecīgo specifisko kredītriska korekciju summu. Šim aprēķinam piemēro nulles minimālo vērtību.</w:t>
            </w:r>
          </w:p>
          <w:p w14:paraId="12BC0F57" w14:textId="6A8A33B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 xml:space="preserve">Šajā šūnā iekļauj likviditātes iespējas un citus piešķīrumus attiecībā uz </w:t>
            </w:r>
            <w:proofErr w:type="spellStart"/>
            <w:r>
              <w:rPr>
                <w:rFonts w:ascii="Times New Roman" w:hAnsi="Times New Roman"/>
                <w:sz w:val="24"/>
              </w:rPr>
              <w:t>vērtspapīrošanu</w:t>
            </w:r>
            <w:proofErr w:type="spellEnd"/>
            <w:r>
              <w:rPr>
                <w:rFonts w:ascii="Times New Roman" w:hAnsi="Times New Roman"/>
                <w:sz w:val="24"/>
              </w:rPr>
              <w:t>.</w:t>
            </w:r>
          </w:p>
          <w:p w14:paraId="01861A93" w14:textId="1AF15CC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Ja saistības attiecas uz cita ārpusbilances posteņa paplašināšanu, saskaņā ar Regulas (ES) Nr. 575/2013 111. panta 3. punktu izmanto zemāko no divām korekcijas pakāpēm (saistītas ar posteni, par kuru ir uzņemtas saistības, vai uzņemto saistību veidu).</w:t>
            </w:r>
          </w:p>
          <w:p w14:paraId="37DBE5CD" w14:textId="2DDC0E00" w:rsidR="00CB48CC" w:rsidRPr="000B66BC" w:rsidRDefault="00CB48CC" w:rsidP="000B66BC">
            <w:pPr>
              <w:pStyle w:val="BodyText1"/>
              <w:spacing w:after="240" w:line="240" w:lineRule="auto"/>
              <w:rPr>
                <w:rFonts w:ascii="Times New Roman" w:hAnsi="Times New Roman"/>
                <w:bCs/>
                <w:sz w:val="24"/>
                <w:szCs w:val="24"/>
                <w:u w:val="single"/>
              </w:rPr>
            </w:pPr>
            <w:r>
              <w:rPr>
                <w:rFonts w:ascii="Times New Roman" w:hAnsi="Times New Roman"/>
                <w:sz w:val="24"/>
              </w:rPr>
              <w:t>Šajā šūnā iestādes neņem vērā Regulas (ES) Nr. 575/2013 II pielikumā uzskaitītos kredītu atvasinātos instrumentus, VFD un pozīcijas, kas minētas 429.d pantā, saskaņā ar Regulas (ES) Nr. 575/2013 429.f pantu.</w:t>
            </w:r>
          </w:p>
        </w:tc>
      </w:tr>
      <w:tr w:rsidR="00CB48CC" w:rsidRPr="00E75BB8" w14:paraId="36A7A2BB" w14:textId="77777777" w:rsidTr="008979D2">
        <w:trPr>
          <w:trHeight w:val="304"/>
        </w:trPr>
        <w:tc>
          <w:tcPr>
            <w:tcW w:w="1555" w:type="dxa"/>
            <w:gridSpan w:val="2"/>
            <w:tcBorders>
              <w:bottom w:val="single" w:sz="4" w:space="0" w:color="auto"/>
            </w:tcBorders>
            <w:vAlign w:val="center"/>
          </w:tcPr>
          <w:p w14:paraId="7E132F7E" w14:textId="5BAF48E5"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{0181;0010}</w:t>
            </w:r>
          </w:p>
          <w:p w14:paraId="41120190"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vAlign w:val="center"/>
          </w:tcPr>
          <w:p w14:paraId="6AD2D6D7"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 Ārpusbilances posteņu vispārējās kredītriska korekcijas </w:t>
            </w:r>
          </w:p>
          <w:p w14:paraId="62AD4ABC" w14:textId="6E11CF8B"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sz w:val="24"/>
              </w:rPr>
              <w:t>Regulas (ES) Nr. 575/2013 429. panta 4. punkts.</w:t>
            </w:r>
          </w:p>
          <w:p w14:paraId="301E11EC" w14:textId="7BD850E1" w:rsidR="00CB48CC" w:rsidRPr="000B66BC" w:rsidRDefault="00CB48CC" w:rsidP="000B66BC">
            <w:pPr>
              <w:pStyle w:val="BodyText1"/>
              <w:spacing w:after="240" w:line="240" w:lineRule="auto"/>
              <w:rPr>
                <w:rFonts w:ascii="Times New Roman" w:hAnsi="Times New Roman"/>
                <w:color w:val="auto"/>
                <w:sz w:val="24"/>
                <w:szCs w:val="24"/>
                <w:highlight w:val="cyan"/>
              </w:rPr>
            </w:pPr>
            <w:r>
              <w:rPr>
                <w:rFonts w:ascii="Times New Roman" w:hAnsi="Times New Roman"/>
                <w:sz w:val="24"/>
              </w:rPr>
              <w:t>To vispārējo kredītriska korekciju summa, kas atbilst 429. panta 4. punkta d) apakšpunktā minētajiem ārpusbilances posteņiem un ko iestādes atskaita saskaņā ar Regulas (ES) Nr. 575/2013 429. panta 4. punkta pēdējo daļu.</w:t>
            </w:r>
          </w:p>
          <w:p w14:paraId="2059F8B9" w14:textId="5CF2B1A7" w:rsidR="00CB48CC" w:rsidRPr="000B66BC" w:rsidRDefault="00CB48CC" w:rsidP="0061658B">
            <w:pPr>
              <w:pStyle w:val="BodyText1"/>
              <w:spacing w:after="240"/>
              <w:rPr>
                <w:rFonts w:ascii="Times New Roman" w:hAnsi="Times New Roman"/>
                <w:color w:val="auto"/>
                <w:sz w:val="24"/>
                <w:szCs w:val="24"/>
              </w:rPr>
            </w:pPr>
            <w:r>
              <w:rPr>
                <w:rFonts w:ascii="Times New Roman" w:hAnsi="Times New Roman"/>
                <w:sz w:val="24"/>
              </w:rPr>
              <w:t>Uzrādīto summu neņem vērā kā samazinājumu, aprēķinot ārpusbilances posteņus {0150;0010} līdz {0180;0010}.</w:t>
            </w:r>
          </w:p>
        </w:tc>
      </w:tr>
      <w:tr w:rsidR="00CB48CC" w:rsidRPr="00E75BB8" w14:paraId="1DF5F072" w14:textId="77777777" w:rsidTr="008979D2">
        <w:trPr>
          <w:trHeight w:val="304"/>
        </w:trPr>
        <w:tc>
          <w:tcPr>
            <w:tcW w:w="1555" w:type="dxa"/>
            <w:gridSpan w:val="2"/>
            <w:tcBorders>
              <w:bottom w:val="single" w:sz="4" w:space="0" w:color="auto"/>
            </w:tcBorders>
          </w:tcPr>
          <w:p w14:paraId="581AAB63" w14:textId="5DF88AB5"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{0185;0010}</w:t>
            </w:r>
          </w:p>
          <w:p w14:paraId="122DCB6F"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01E22C55" w14:textId="6F2775AA"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rPr>
              <w:t xml:space="preserve">Regulārie pirkšanas un pārdošanas darījumi, par kuriem tiek gaidīts norēķins: uzskaites vērtība saskaņā ar tirdzniecības dienas uzskaiti </w:t>
            </w:r>
          </w:p>
          <w:p w14:paraId="4C694246" w14:textId="0854703B" w:rsidR="00CB48C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sz w:val="24"/>
              </w:rPr>
              <w:t>Regulas (ES) Nr. 575/2013 429.g panta 1. punkts.</w:t>
            </w:r>
          </w:p>
          <w:p w14:paraId="7D206739" w14:textId="0B1BCEAC" w:rsidR="00272017" w:rsidRPr="000B66BC" w:rsidRDefault="00272017" w:rsidP="000B66BC">
            <w:pPr>
              <w:pStyle w:val="BodyText1"/>
              <w:spacing w:after="240" w:line="240" w:lineRule="auto"/>
              <w:rPr>
                <w:rFonts w:ascii="Times New Roman" w:hAnsi="Times New Roman"/>
                <w:bCs/>
                <w:color w:val="auto"/>
                <w:sz w:val="24"/>
                <w:szCs w:val="24"/>
              </w:rPr>
            </w:pPr>
            <w:r>
              <w:rPr>
                <w:rFonts w:ascii="Times New Roman" w:hAnsi="Times New Roman"/>
                <w:color w:val="auto"/>
                <w:sz w:val="24"/>
              </w:rPr>
              <w:t>Summa, ko veido:</w:t>
            </w:r>
          </w:p>
          <w:p w14:paraId="5F24E6D9" w14:textId="18634CD3" w:rsidR="00995F8D" w:rsidRPr="000B66BC" w:rsidRDefault="00995F8D" w:rsidP="000B66BC">
            <w:pPr>
              <w:pStyle w:val="BodyText1"/>
              <w:numPr>
                <w:ilvl w:val="0"/>
                <w:numId w:val="42"/>
              </w:numPr>
              <w:spacing w:after="240"/>
              <w:rPr>
                <w:rFonts w:ascii="Times New Roman" w:hAnsi="Times New Roman"/>
                <w:bCs/>
                <w:color w:val="auto"/>
                <w:sz w:val="24"/>
                <w:szCs w:val="24"/>
              </w:rPr>
            </w:pPr>
            <w:r>
              <w:rPr>
                <w:rFonts w:ascii="Times New Roman" w:hAnsi="Times New Roman"/>
                <w:sz w:val="24"/>
              </w:rPr>
              <w:t>Naudas summa par regulārajiem pirkšanas darījumiem, kas paliek bilancē līdz norēķinu dienai kā aktīvi saskaņā ar Regulas (ES) Nr. 575/2013 429. panta 4. punkta a) apakšpunktu.</w:t>
            </w:r>
          </w:p>
          <w:p w14:paraId="72B0EC2C" w14:textId="3486F47F" w:rsidR="00995F8D" w:rsidRPr="000B66BC" w:rsidRDefault="00272017" w:rsidP="000B66BC">
            <w:pPr>
              <w:pStyle w:val="BodyText1"/>
              <w:numPr>
                <w:ilvl w:val="0"/>
                <w:numId w:val="42"/>
              </w:numPr>
              <w:spacing w:after="240"/>
              <w:rPr>
                <w:rFonts w:ascii="Times New Roman" w:hAnsi="Times New Roman"/>
                <w:bCs/>
                <w:color w:val="auto"/>
                <w:sz w:val="24"/>
                <w:szCs w:val="24"/>
              </w:rPr>
            </w:pPr>
            <w:r>
              <w:rPr>
                <w:rFonts w:ascii="Times New Roman" w:hAnsi="Times New Roman"/>
                <w:sz w:val="24"/>
              </w:rPr>
              <w:t>Debitoru parādi naudā, kas saistīti ar regulārajiem pirkšanas darījumiem un paliek bilancē kā aktīvi līdz norēķinu dienai saskaņā ar Regulas (ES) Nr. 575/2013 429. panta 4. punkta a) apakšpunktu.</w:t>
            </w:r>
            <w:r>
              <w:rPr>
                <w:rFonts w:ascii="Times New Roman" w:hAnsi="Times New Roman"/>
                <w:color w:val="auto"/>
                <w:sz w:val="24"/>
              </w:rPr>
              <w:t xml:space="preserve"> Šī ir summa pēc kompensācijas starp naudas debitoru parādiem par regulārajiem pārdošanas darījumiem, kas gaida norēķinu, un naudas kreditoru parādiem par regulārajiem pirkšanas darījumiem, kas gaida norēķinu, kura atļauta saskaņā ar grāmatvedības regulējumu.</w:t>
            </w:r>
          </w:p>
          <w:p w14:paraId="5C35FB48" w14:textId="21B2EF08" w:rsidR="00CB48CC" w:rsidRPr="000B66BC" w:rsidRDefault="00272017"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rPr>
              <w:t>Iestādes, kas piemēro darījuma dienas uzskaiti, iepriekš minēto summu uzrāda šajā šūnā, nevis 0190. rindā “citi aktīvi”, savukārt vērtspapīrus, kas saistīti ar regulārajiem pirkšanas darījumiem, tās uzrāda 0190. rindā.</w:t>
            </w:r>
          </w:p>
        </w:tc>
      </w:tr>
      <w:tr w:rsidR="00CB48CC" w:rsidRPr="00E75BB8" w14:paraId="5102550B" w14:textId="77777777" w:rsidTr="008979D2">
        <w:trPr>
          <w:trHeight w:val="304"/>
        </w:trPr>
        <w:tc>
          <w:tcPr>
            <w:tcW w:w="1555" w:type="dxa"/>
            <w:gridSpan w:val="2"/>
            <w:tcBorders>
              <w:bottom w:val="single" w:sz="4" w:space="0" w:color="auto"/>
            </w:tcBorders>
          </w:tcPr>
          <w:p w14:paraId="7F15FF7B" w14:textId="4280A8CB"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{0186;0010}</w:t>
            </w:r>
          </w:p>
          <w:p w14:paraId="09F7091F"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525B26A" w14:textId="37531743"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rPr>
              <w:t>Regulārie pārdošanas darījumi, par kuriem tiek gaidīts norēķins: uzskaites saskaņā ar tirdzniecības dienas uzskaiti atcelšana</w:t>
            </w:r>
          </w:p>
          <w:p w14:paraId="20327055" w14:textId="385E8EAB" w:rsidR="00CB48C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sz w:val="24"/>
              </w:rPr>
              <w:t>Regulas (ES) Nr. 575/2013 429.g panta 2. punkts.</w:t>
            </w:r>
          </w:p>
          <w:p w14:paraId="4A0C32B6" w14:textId="15F13BC7" w:rsidR="002B0AA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rPr>
              <w:t>Kompensācijas summa starp naudas debitoru parādiem par regulārajiem pārdošanas darījumiem, kas gaida norēķinu, un naudas kreditoru parādiem par regulārajiem pirkšanas darījumiem, kas gaida norēķinu, kura atļauta saskaņā ar grāmatvedības regulējumu.</w:t>
            </w:r>
          </w:p>
        </w:tc>
      </w:tr>
      <w:tr w:rsidR="00195426" w:rsidRPr="00E75BB8" w14:paraId="78EEA43B" w14:textId="77777777" w:rsidTr="008979D2">
        <w:trPr>
          <w:trHeight w:val="304"/>
        </w:trPr>
        <w:tc>
          <w:tcPr>
            <w:tcW w:w="1555" w:type="dxa"/>
            <w:gridSpan w:val="2"/>
            <w:tcBorders>
              <w:bottom w:val="single" w:sz="4" w:space="0" w:color="auto"/>
            </w:tcBorders>
          </w:tcPr>
          <w:p w14:paraId="61857A89" w14:textId="623EBF8F" w:rsidR="00195426" w:rsidRPr="000B66BC" w:rsidRDefault="00195426" w:rsidP="000B66BC">
            <w:pPr>
              <w:pStyle w:val="BodyText1"/>
              <w:spacing w:after="240"/>
              <w:rPr>
                <w:rFonts w:ascii="Times New Roman" w:hAnsi="Times New Roman"/>
                <w:bCs/>
                <w:sz w:val="24"/>
                <w:szCs w:val="24"/>
              </w:rPr>
            </w:pPr>
            <w:r>
              <w:rPr>
                <w:rFonts w:ascii="Times New Roman" w:hAnsi="Times New Roman"/>
                <w:sz w:val="24"/>
              </w:rPr>
              <w:t>{0187;0010}</w:t>
            </w:r>
          </w:p>
          <w:p w14:paraId="58BAB70E" w14:textId="77777777" w:rsidR="00195426" w:rsidRPr="000B66BC" w:rsidRDefault="00195426"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510C554" w14:textId="68E20342" w:rsidR="00195426" w:rsidRPr="000B66BC" w:rsidRDefault="00195426" w:rsidP="000B66BC">
            <w:pPr>
              <w:pStyle w:val="BodyText1"/>
              <w:spacing w:after="240" w:line="240" w:lineRule="auto"/>
              <w:rPr>
                <w:rFonts w:ascii="Times New Roman" w:hAnsi="Times New Roman"/>
                <w:bCs/>
                <w:sz w:val="24"/>
                <w:szCs w:val="24"/>
              </w:rPr>
            </w:pPr>
            <w:r>
              <w:rPr>
                <w:rFonts w:ascii="Times New Roman" w:hAnsi="Times New Roman"/>
                <w:b/>
                <w:color w:val="auto"/>
                <w:sz w:val="24"/>
              </w:rPr>
              <w:t>(–) Regulārie pārdošanas darījumi, par kuriem tiek gaidīts norēķins: ieskaits saskaņā ar KPR 429.g panta 2. punktu</w:t>
            </w:r>
          </w:p>
          <w:p w14:paraId="416B6808" w14:textId="30634B7B" w:rsidR="00195426" w:rsidRPr="000B66BC" w:rsidRDefault="00195426" w:rsidP="000B66BC">
            <w:pPr>
              <w:pStyle w:val="BodyText1"/>
              <w:spacing w:after="240" w:line="240" w:lineRule="auto"/>
              <w:rPr>
                <w:rFonts w:ascii="Times New Roman" w:hAnsi="Times New Roman"/>
                <w:color w:val="auto"/>
                <w:sz w:val="24"/>
                <w:szCs w:val="24"/>
              </w:rPr>
            </w:pPr>
            <w:r>
              <w:rPr>
                <w:rFonts w:ascii="Times New Roman" w:hAnsi="Times New Roman"/>
                <w:sz w:val="24"/>
              </w:rPr>
              <w:t>Regulas (ES) Nr. 575/2013 429.g panta 2. punkts.</w:t>
            </w:r>
          </w:p>
          <w:p w14:paraId="057F1FAB" w14:textId="6C538100" w:rsidR="00195426" w:rsidRPr="000B66BC" w:rsidRDefault="00195426" w:rsidP="000B66BC">
            <w:pPr>
              <w:pStyle w:val="BodyText1"/>
              <w:spacing w:after="240"/>
              <w:rPr>
                <w:rFonts w:ascii="Times New Roman" w:hAnsi="Times New Roman"/>
                <w:b/>
                <w:bCs/>
                <w:color w:val="auto"/>
                <w:sz w:val="24"/>
                <w:szCs w:val="24"/>
              </w:rPr>
            </w:pPr>
            <w:r>
              <w:rPr>
                <w:rFonts w:ascii="Times New Roman" w:hAnsi="Times New Roman"/>
                <w:sz w:val="24"/>
              </w:rPr>
              <w:t>Apmērs, par kādu veikts mijieskaits starp saņemamo naudu un maksājamo naudu, ja norēķins gan par regulārajiem pārdošanas darījumiem, gan regulārajiem pirkšanas darījumiem notiek pēc principa “piegāde pret samaksu” saskaņā ar Regulas (ES) Nr. 575/2013 429.g panta 2. punktu.</w:t>
            </w:r>
          </w:p>
        </w:tc>
      </w:tr>
      <w:tr w:rsidR="00CB48CC" w:rsidRPr="00E75BB8" w14:paraId="664DB6ED" w14:textId="77777777" w:rsidTr="008979D2">
        <w:trPr>
          <w:trHeight w:val="304"/>
        </w:trPr>
        <w:tc>
          <w:tcPr>
            <w:tcW w:w="1555" w:type="dxa"/>
            <w:gridSpan w:val="2"/>
            <w:tcBorders>
              <w:bottom w:val="single" w:sz="4" w:space="0" w:color="auto"/>
            </w:tcBorders>
          </w:tcPr>
          <w:p w14:paraId="761F65B7" w14:textId="0803C63C"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{0188;0010}</w:t>
            </w:r>
          </w:p>
          <w:p w14:paraId="2D8E081B"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CD9B991" w14:textId="1F5C665A"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rPr>
              <w:t xml:space="preserve">Regulārie pirkšanas darījumi, par kuriem tiek gaidīts norēķins: maksājumu apņemšanos pilnīga atzīšana saskaņā ar norēķina datuma uzskaiti </w:t>
            </w:r>
          </w:p>
          <w:p w14:paraId="0305F981" w14:textId="4F83E6AC" w:rsidR="00CB48CC" w:rsidRPr="000B66BC" w:rsidRDefault="00195426" w:rsidP="000B66BC">
            <w:pPr>
              <w:pStyle w:val="BodyText1"/>
              <w:spacing w:after="240" w:line="240" w:lineRule="auto"/>
              <w:rPr>
                <w:rFonts w:ascii="Times New Roman" w:hAnsi="Times New Roman"/>
                <w:b/>
                <w:bCs/>
                <w:color w:val="auto"/>
                <w:sz w:val="24"/>
                <w:szCs w:val="24"/>
              </w:rPr>
            </w:pPr>
            <w:r>
              <w:rPr>
                <w:rFonts w:ascii="Times New Roman" w:hAnsi="Times New Roman"/>
                <w:sz w:val="24"/>
              </w:rPr>
              <w:t>Regulas (ES) Nr. 575/2013 429.g panta 3. punkts.</w:t>
            </w:r>
          </w:p>
          <w:p w14:paraId="17418655" w14:textId="77777777" w:rsidR="00CB48CC" w:rsidRPr="000B66BC" w:rsidRDefault="00CB48CC" w:rsidP="000B66BC">
            <w:pPr>
              <w:pStyle w:val="BodyText1"/>
              <w:spacing w:after="240"/>
              <w:rPr>
                <w:rFonts w:ascii="Times New Roman" w:hAnsi="Times New Roman"/>
                <w:bCs/>
                <w:color w:val="auto"/>
                <w:sz w:val="24"/>
                <w:szCs w:val="24"/>
              </w:rPr>
            </w:pPr>
            <w:r>
              <w:rPr>
                <w:rFonts w:ascii="Times New Roman" w:hAnsi="Times New Roman"/>
                <w:color w:val="auto"/>
                <w:sz w:val="24"/>
              </w:rPr>
              <w:t>Pilna to apņemšanos nominālvērtība, kas saistītas ar regulārajiem pirkšanas darījumiem, iestādēm, kuras saskaņā ar piemērojamo grāmatvedības regulējumu regulārajiem pārdošanas un pirkšanas darījumiem piemēro norēķina dienas uzskaiti.</w:t>
            </w:r>
          </w:p>
          <w:p w14:paraId="59B3EB10" w14:textId="3BF06932" w:rsidR="00CB48CC" w:rsidRPr="000B66BC" w:rsidRDefault="003718C7" w:rsidP="000B66BC">
            <w:pPr>
              <w:pStyle w:val="BodyText1"/>
              <w:spacing w:after="240"/>
              <w:rPr>
                <w:rFonts w:ascii="Times New Roman" w:hAnsi="Times New Roman"/>
                <w:b/>
                <w:bCs/>
                <w:color w:val="auto"/>
                <w:sz w:val="24"/>
                <w:szCs w:val="24"/>
              </w:rPr>
            </w:pPr>
            <w:r>
              <w:rPr>
                <w:rFonts w:ascii="Times New Roman" w:hAnsi="Times New Roman"/>
                <w:color w:val="auto"/>
                <w:sz w:val="24"/>
              </w:rPr>
              <w:t>Vērtspapīrus saistībā ar regulārajiem pārdošanas darījumiem uzrāda 0190. rindā “citi aktīvi”.</w:t>
            </w:r>
          </w:p>
        </w:tc>
      </w:tr>
      <w:tr w:rsidR="00CB48CC" w:rsidRPr="00E75BB8" w14:paraId="061A339C" w14:textId="77777777" w:rsidTr="008979D2">
        <w:trPr>
          <w:trHeight w:val="304"/>
        </w:trPr>
        <w:tc>
          <w:tcPr>
            <w:tcW w:w="1555" w:type="dxa"/>
            <w:gridSpan w:val="2"/>
            <w:tcBorders>
              <w:bottom w:val="single" w:sz="4" w:space="0" w:color="auto"/>
            </w:tcBorders>
          </w:tcPr>
          <w:p w14:paraId="4E6F9470" w14:textId="411DE5F9" w:rsidR="00974BCC" w:rsidRPr="000B66BC" w:rsidRDefault="00974BCC" w:rsidP="000B66BC">
            <w:pPr>
              <w:pStyle w:val="BodyText1"/>
              <w:spacing w:after="240"/>
              <w:rPr>
                <w:rFonts w:ascii="Times New Roman" w:hAnsi="Times New Roman"/>
                <w:bCs/>
                <w:sz w:val="24"/>
                <w:szCs w:val="24"/>
              </w:rPr>
            </w:pPr>
            <w:r>
              <w:rPr>
                <w:rFonts w:ascii="Times New Roman" w:hAnsi="Times New Roman"/>
                <w:sz w:val="24"/>
              </w:rPr>
              <w:t>{0189;0010}</w:t>
            </w:r>
          </w:p>
          <w:p w14:paraId="299E6D92"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DDE4E8F" w14:textId="1D6A15E3" w:rsidR="00974BCC" w:rsidRPr="000B66BC" w:rsidRDefault="00974B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Regulārie pirkšanas darījumi, par kuriem tiek gaidīts norēķins: ieskaits attiecībā uz maksājumu apņemšanām saskaņā ar norēķina datuma uzskaiti saskaņā ar KPR 429.g panta 3. punktu</w:t>
            </w:r>
          </w:p>
          <w:p w14:paraId="0155689A" w14:textId="09D66768" w:rsidR="0049459B" w:rsidRPr="000B66BC" w:rsidRDefault="0049459B" w:rsidP="000B66BC">
            <w:pPr>
              <w:pStyle w:val="BodyText1"/>
              <w:spacing w:after="240" w:line="240" w:lineRule="auto"/>
              <w:rPr>
                <w:rFonts w:ascii="Times New Roman" w:hAnsi="Times New Roman"/>
                <w:b/>
                <w:bCs/>
                <w:sz w:val="24"/>
                <w:szCs w:val="24"/>
              </w:rPr>
            </w:pPr>
            <w:r>
              <w:rPr>
                <w:rFonts w:ascii="Times New Roman" w:hAnsi="Times New Roman"/>
                <w:sz w:val="24"/>
              </w:rPr>
              <w:t>Regulas (ES) Nr. 575/2013 429.g panta 3. punkts.</w:t>
            </w:r>
          </w:p>
          <w:p w14:paraId="795D29D1" w14:textId="0149AE44" w:rsidR="0049459B" w:rsidRPr="000B66BC" w:rsidRDefault="00DC3476" w:rsidP="000B66BC">
            <w:pPr>
              <w:pStyle w:val="BodyText1"/>
              <w:spacing w:after="240"/>
              <w:rPr>
                <w:rFonts w:ascii="Times New Roman" w:hAnsi="Times New Roman"/>
                <w:bCs/>
                <w:sz w:val="24"/>
                <w:szCs w:val="24"/>
              </w:rPr>
            </w:pPr>
            <w:r>
              <w:rPr>
                <w:rFonts w:ascii="Times New Roman" w:hAnsi="Times New Roman"/>
                <w:sz w:val="24"/>
              </w:rPr>
              <w:t>rindā uzrādītās summas daļa, ko kompensē ar tādu debitoru parādu pilnu nominālvērtību, kuri saistīti ar regulārajiem pārdošanas darījumiem, kas gaida norēķinu saskaņā ar Regulas (ES) Nr. 575/2013 429.g panta 3. punktu.</w:t>
            </w:r>
          </w:p>
        </w:tc>
      </w:tr>
      <w:tr w:rsidR="00CB48CC" w:rsidRPr="00E75BB8" w14:paraId="7F056AC7" w14:textId="77777777" w:rsidTr="008979D2">
        <w:trPr>
          <w:trHeight w:val="304"/>
        </w:trPr>
        <w:tc>
          <w:tcPr>
            <w:tcW w:w="1555" w:type="dxa"/>
            <w:gridSpan w:val="2"/>
            <w:tcBorders>
              <w:bottom w:val="single" w:sz="4" w:space="0" w:color="auto"/>
            </w:tcBorders>
          </w:tcPr>
          <w:p w14:paraId="363AA4BD" w14:textId="49D24DA5"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{0190;0010}</w:t>
            </w:r>
          </w:p>
          <w:p w14:paraId="02CEC1ED"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50F25DB7"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xml:space="preserve">Citi aktīvi </w:t>
            </w:r>
          </w:p>
          <w:p w14:paraId="6BF56BA7" w14:textId="02AF2400" w:rsidR="00CB48CC" w:rsidRPr="000B66BC" w:rsidRDefault="0097168A" w:rsidP="000B66BC">
            <w:pPr>
              <w:pStyle w:val="BodyText1"/>
              <w:spacing w:after="240" w:line="240" w:lineRule="auto"/>
              <w:rPr>
                <w:rFonts w:ascii="Times New Roman" w:hAnsi="Times New Roman"/>
                <w:bCs/>
                <w:sz w:val="24"/>
                <w:szCs w:val="24"/>
              </w:rPr>
            </w:pPr>
            <w:r>
              <w:rPr>
                <w:rFonts w:ascii="Times New Roman" w:hAnsi="Times New Roman"/>
                <w:sz w:val="24"/>
              </w:rPr>
              <w:t>Regulas (ES) Nr. 575/2013 429. panta 4. punkta a) apakšpunkts</w:t>
            </w:r>
          </w:p>
          <w:p w14:paraId="412FDEE7" w14:textId="71A56B82"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 xml:space="preserve">Visi aktīvi, izņemot atvasināto instrumentu līgumus, kas minēti Regulas (ES) Nr. 575/2013 II pielikumā, kredītu atvasinātos instrumentus un VFD (t. i., to </w:t>
            </w:r>
            <w:r>
              <w:rPr>
                <w:rFonts w:ascii="Times New Roman" w:hAnsi="Times New Roman"/>
                <w:sz w:val="24"/>
              </w:rPr>
              <w:lastRenderedPageBreak/>
              <w:t>citu aktīvu starpā, kuri jānorāda šajā šūnā, ir grāmatvedībā iekļautie debitoru parādi par sniegto naudas mainīgo drošības rezervi, ja tie atzīti saskaņā ar operatīvo grāmatvedības regulējumu, likvīdie aktīvi, kā definēts saskaņā ar likviditātes seguma koeficientu, neizdevušies darījumi un darījumi, kuros nav nokārtoti norēķini). Iestādes nosaka vērtību saskaņā ar Regulas (ES) Nr. 575/2013429.b panta 1. punktā un 429. panta 7. punktā minētajiem principiem.</w:t>
            </w:r>
          </w:p>
          <w:p w14:paraId="1C53A1E2" w14:textId="69743091" w:rsidR="00BA46B1"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Šajā šūnā iestādes iekļauj saņemto naudu vai jebkādu nodrošinājumu, kas sniegts darījuma partnerim, izmantojot VFD, un paturēts bilancē (t. i., nav izpildīti grāmatvedības kritēriji par atzīšanas pārtraukšanu). Turklāt iestādes šeit atzīst posteņus, kas atskaitīti no pirmā līmeņa pamata kapitāla un pirmā līmeņa papildu kapitāla posteņiem (piemēram, nemateriālie aktīvi, atliktā nodokļa aktīvi utt.).</w:t>
            </w:r>
          </w:p>
          <w:p w14:paraId="0030E8E6" w14:textId="2978235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{0191;0010}rindā uzrādīto summu neņem vērā kā samazinājumu šīs rindas aprēķinā.</w:t>
            </w:r>
          </w:p>
          <w:p w14:paraId="52C58829" w14:textId="00F0E873" w:rsidR="00CB48CC" w:rsidRPr="000B66BC" w:rsidRDefault="00CB48CC" w:rsidP="000B66BC">
            <w:pPr>
              <w:pStyle w:val="BodyText1"/>
              <w:spacing w:after="240"/>
              <w:rPr>
                <w:rFonts w:ascii="Times New Roman" w:hAnsi="Times New Roman"/>
                <w:bCs/>
                <w:sz w:val="24"/>
                <w:szCs w:val="24"/>
                <w:u w:val="single"/>
              </w:rPr>
            </w:pPr>
            <w:r>
              <w:rPr>
                <w:rFonts w:ascii="Times New Roman" w:hAnsi="Times New Roman"/>
                <w:sz w:val="24"/>
              </w:rPr>
              <w:t>Naudas kopfonda veidošanas shēmas uzrāda {0193;0010}, {0194;0010}, {0195;0010}, {0196;0010}, {0197;0010} un {0198;0010}, nevis šeit.</w:t>
            </w:r>
          </w:p>
        </w:tc>
      </w:tr>
      <w:tr w:rsidR="00CB48CC" w:rsidRPr="00E75BB8" w14:paraId="5EC00608" w14:textId="77777777" w:rsidTr="008979D2">
        <w:trPr>
          <w:trHeight w:val="304"/>
        </w:trPr>
        <w:tc>
          <w:tcPr>
            <w:tcW w:w="1555" w:type="dxa"/>
            <w:gridSpan w:val="2"/>
            <w:tcBorders>
              <w:bottom w:val="single" w:sz="4" w:space="0" w:color="auto"/>
            </w:tcBorders>
          </w:tcPr>
          <w:p w14:paraId="0DDE44FD" w14:textId="34148683"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{0191;0010}</w:t>
            </w:r>
          </w:p>
          <w:p w14:paraId="23095895"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8980839"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 Bilances posteņu vispārējās kredītriska korekcijas </w:t>
            </w:r>
          </w:p>
          <w:p w14:paraId="1CDF58F3" w14:textId="721A5106"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sz w:val="24"/>
              </w:rPr>
              <w:t>Regulas (ES) Nr. 575/2013 429. panta 4. punkts.</w:t>
            </w:r>
          </w:p>
          <w:p w14:paraId="7E1379BD" w14:textId="271041A2" w:rsidR="00CB48CC" w:rsidRPr="000B66BC" w:rsidRDefault="00CB48CC" w:rsidP="000B66BC">
            <w:pPr>
              <w:pStyle w:val="BodyText1"/>
              <w:spacing w:after="240" w:line="240" w:lineRule="auto"/>
              <w:rPr>
                <w:rFonts w:ascii="Times New Roman" w:hAnsi="Times New Roman"/>
                <w:color w:val="auto"/>
                <w:sz w:val="24"/>
                <w:szCs w:val="24"/>
                <w:highlight w:val="cyan"/>
              </w:rPr>
            </w:pPr>
            <w:r>
              <w:rPr>
                <w:rFonts w:ascii="Times New Roman" w:hAnsi="Times New Roman"/>
                <w:sz w:val="24"/>
              </w:rPr>
              <w:t>To vispārējo kredītriska korekciju summa, kas atbilst 429. panta 4. punkta a) apakšpunktā minētajiem bilances posteņiem un ko iestādes atskaita saskaņā ar Regulas (ES) Nr. 575/2013 429. panta 4. punkta pēdējo daļu.</w:t>
            </w:r>
          </w:p>
          <w:p w14:paraId="58EB87A7" w14:textId="35B2ADBB"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sz w:val="24"/>
              </w:rPr>
              <w:t>Uzrādīto summu neņem vērā kā samazinājumu, aprēķinot citus aktīvus, ko uzrāda {0190;0010.</w:t>
            </w:r>
          </w:p>
        </w:tc>
      </w:tr>
      <w:tr w:rsidR="006E0322" w:rsidRPr="00E75BB8" w14:paraId="2DB04EEA" w14:textId="77777777" w:rsidTr="008979D2">
        <w:trPr>
          <w:trHeight w:val="304"/>
        </w:trPr>
        <w:tc>
          <w:tcPr>
            <w:tcW w:w="1555" w:type="dxa"/>
            <w:gridSpan w:val="2"/>
            <w:tcBorders>
              <w:bottom w:val="single" w:sz="4" w:space="0" w:color="auto"/>
            </w:tcBorders>
          </w:tcPr>
          <w:p w14:paraId="07B43E1F" w14:textId="12AF740D" w:rsidR="006E0322" w:rsidRPr="000B66BC" w:rsidRDefault="006E0322" w:rsidP="000B66BC">
            <w:pPr>
              <w:pStyle w:val="BodyText1"/>
              <w:spacing w:after="240"/>
              <w:rPr>
                <w:rFonts w:ascii="Times New Roman" w:hAnsi="Times New Roman"/>
                <w:bCs/>
                <w:sz w:val="24"/>
                <w:szCs w:val="24"/>
              </w:rPr>
            </w:pPr>
            <w:r>
              <w:rPr>
                <w:rFonts w:ascii="Times New Roman" w:hAnsi="Times New Roman"/>
                <w:sz w:val="24"/>
              </w:rPr>
              <w:t>{0193;0010}</w:t>
            </w:r>
          </w:p>
          <w:p w14:paraId="28BFDD3E" w14:textId="77777777" w:rsidR="006E0322" w:rsidRPr="000B66BC" w:rsidRDefault="006E0322"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3974CEB" w14:textId="77777777" w:rsidR="00103B23" w:rsidRPr="000B66BC" w:rsidRDefault="00103B23"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Naudas kopfonda veidošanas shēmas, kurām nevar piemērot </w:t>
            </w:r>
            <w:proofErr w:type="spellStart"/>
            <w:r>
              <w:rPr>
                <w:rFonts w:ascii="Times New Roman" w:hAnsi="Times New Roman"/>
                <w:b/>
                <w:color w:val="auto"/>
                <w:sz w:val="24"/>
              </w:rPr>
              <w:t>prudenciālo</w:t>
            </w:r>
            <w:proofErr w:type="spellEnd"/>
            <w:r>
              <w:rPr>
                <w:rFonts w:ascii="Times New Roman" w:hAnsi="Times New Roman"/>
                <w:b/>
                <w:color w:val="auto"/>
                <w:sz w:val="24"/>
              </w:rPr>
              <w:t xml:space="preserve"> ieskaitu: vērtība saskaņā ar grāmatvedības regulējumu</w:t>
            </w:r>
          </w:p>
          <w:p w14:paraId="01265E9F" w14:textId="22BFBC85" w:rsidR="00103B23" w:rsidRPr="000B66BC" w:rsidRDefault="009F6A59" w:rsidP="000B66BC">
            <w:pPr>
              <w:pStyle w:val="BodyText1"/>
              <w:spacing w:after="240" w:line="240" w:lineRule="auto"/>
              <w:rPr>
                <w:rFonts w:ascii="Times New Roman" w:hAnsi="Times New Roman"/>
                <w:color w:val="auto"/>
                <w:sz w:val="24"/>
                <w:szCs w:val="24"/>
              </w:rPr>
            </w:pPr>
            <w:r>
              <w:rPr>
                <w:rFonts w:ascii="Times New Roman" w:hAnsi="Times New Roman"/>
                <w:sz w:val="24"/>
              </w:rPr>
              <w:t>Regulas (ES) Nr. 575/2013 429.b panta 2. un 3. punkts</w:t>
            </w:r>
          </w:p>
          <w:p w14:paraId="421B559D" w14:textId="30B00F23" w:rsidR="006E0322" w:rsidRPr="000B66BC" w:rsidRDefault="00103B23" w:rsidP="000B66BC">
            <w:pPr>
              <w:pStyle w:val="BodyText1"/>
              <w:spacing w:after="240" w:line="240" w:lineRule="auto"/>
              <w:rPr>
                <w:rFonts w:ascii="Times New Roman" w:hAnsi="Times New Roman"/>
                <w:b/>
                <w:color w:val="auto"/>
                <w:sz w:val="24"/>
                <w:szCs w:val="24"/>
              </w:rPr>
            </w:pPr>
            <w:r>
              <w:rPr>
                <w:rFonts w:ascii="Times New Roman" w:hAnsi="Times New Roman"/>
                <w:sz w:val="24"/>
              </w:rPr>
              <w:t>Naudas kopfonda veidošanas shēmu uzskaites vērtība, t. i., tādu shēmu uzskaites vērtība, ar kurām vairāku atsevišķu kontu kredīta vai debeta atlikumus apvieno naudas vai likviditātes pārvaldības vajadzībām un kam nevar veikt savstarpēju ieskaitu saskaņā ar Regulas (ES) Nr. 575/2013 429.b panta 2. un 3. punktu.</w:t>
            </w:r>
          </w:p>
        </w:tc>
      </w:tr>
      <w:tr w:rsidR="00CB48CC" w:rsidRPr="00E75BB8" w14:paraId="26F15125" w14:textId="77777777" w:rsidTr="008979D2">
        <w:trPr>
          <w:trHeight w:val="304"/>
        </w:trPr>
        <w:tc>
          <w:tcPr>
            <w:tcW w:w="1555" w:type="dxa"/>
            <w:gridSpan w:val="2"/>
            <w:tcBorders>
              <w:bottom w:val="single" w:sz="4" w:space="0" w:color="auto"/>
            </w:tcBorders>
          </w:tcPr>
          <w:p w14:paraId="5FD0298B" w14:textId="2215C91C"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{0194;0010}</w:t>
            </w:r>
          </w:p>
          <w:p w14:paraId="4FD69EB9"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7940841" w14:textId="77777777" w:rsidR="00103B23"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Naudas kopfonda veidošanas shēmas, kurām nevar piemērot </w:t>
            </w:r>
            <w:proofErr w:type="spellStart"/>
            <w:r>
              <w:rPr>
                <w:rFonts w:ascii="Times New Roman" w:hAnsi="Times New Roman"/>
                <w:b/>
                <w:color w:val="auto"/>
                <w:sz w:val="24"/>
              </w:rPr>
              <w:t>prudenciālo</w:t>
            </w:r>
            <w:proofErr w:type="spellEnd"/>
            <w:r>
              <w:rPr>
                <w:rFonts w:ascii="Times New Roman" w:hAnsi="Times New Roman"/>
                <w:b/>
                <w:color w:val="auto"/>
                <w:sz w:val="24"/>
              </w:rPr>
              <w:t xml:space="preserve"> ieskaitu: ietekme, kas rodas, summējot savstarpējo ieskaitu atbilstoši grāmatvedības regulējumam</w:t>
            </w:r>
          </w:p>
          <w:p w14:paraId="390CF1DE" w14:textId="6D417CDE"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sz w:val="24"/>
              </w:rPr>
              <w:t>Regulas (ES) Nr. 575/2013 429. panta 7.b punkts un 429.b panta 2. un 3. punkts.</w:t>
            </w:r>
          </w:p>
          <w:p w14:paraId="7AC9B352" w14:textId="40BB7FB2" w:rsidR="00CB48CC" w:rsidRPr="000B66BC" w:rsidRDefault="00103B23"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rPr>
              <w:lastRenderedPageBreak/>
              <w:t xml:space="preserve">Ieskaita summa saskaņā ar piemērojamo grāmatvedības regulējumu attiecībā uz naudas kopfonda veidošanas shēmām, ko nevar savstarpēji ieskaitīt </w:t>
            </w:r>
            <w:proofErr w:type="spellStart"/>
            <w:r>
              <w:rPr>
                <w:rFonts w:ascii="Times New Roman" w:hAnsi="Times New Roman"/>
                <w:color w:val="auto"/>
                <w:sz w:val="24"/>
              </w:rPr>
              <w:t>prudenciāli</w:t>
            </w:r>
            <w:proofErr w:type="spellEnd"/>
            <w:r>
              <w:rPr>
                <w:rFonts w:ascii="Times New Roman" w:hAnsi="Times New Roman"/>
                <w:color w:val="auto"/>
                <w:sz w:val="24"/>
              </w:rPr>
              <w:t>, uzrādīta {0193;0010}.</w:t>
            </w:r>
          </w:p>
        </w:tc>
      </w:tr>
      <w:tr w:rsidR="00CB48CC" w:rsidRPr="00E75BB8" w14:paraId="751549C0" w14:textId="77777777" w:rsidTr="008979D2">
        <w:trPr>
          <w:trHeight w:val="304"/>
        </w:trPr>
        <w:tc>
          <w:tcPr>
            <w:tcW w:w="1555" w:type="dxa"/>
            <w:gridSpan w:val="2"/>
            <w:tcBorders>
              <w:bottom w:val="single" w:sz="4" w:space="0" w:color="auto"/>
            </w:tcBorders>
          </w:tcPr>
          <w:p w14:paraId="12C2B1C4" w14:textId="60D4BAFE" w:rsidR="00974BCC" w:rsidRPr="000B66BC" w:rsidRDefault="00974BCC" w:rsidP="000B66BC">
            <w:pPr>
              <w:pStyle w:val="BodyText1"/>
              <w:spacing w:after="240"/>
              <w:rPr>
                <w:rFonts w:ascii="Times New Roman" w:hAnsi="Times New Roman"/>
                <w:bCs/>
                <w:sz w:val="24"/>
                <w:szCs w:val="24"/>
              </w:rPr>
            </w:pPr>
            <w:r>
              <w:rPr>
                <w:rFonts w:ascii="Times New Roman" w:hAnsi="Times New Roman"/>
                <w:sz w:val="24"/>
              </w:rPr>
              <w:lastRenderedPageBreak/>
              <w:t>{0195;0010}</w:t>
            </w:r>
          </w:p>
          <w:p w14:paraId="522A5DF4"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E634ADC"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Naudas kopfonda veidošanas shēmas, kurām var piemērot </w:t>
            </w:r>
            <w:proofErr w:type="spellStart"/>
            <w:r>
              <w:rPr>
                <w:rFonts w:ascii="Times New Roman" w:hAnsi="Times New Roman"/>
                <w:b/>
                <w:color w:val="auto"/>
                <w:sz w:val="24"/>
              </w:rPr>
              <w:t>prudenciālo</w:t>
            </w:r>
            <w:proofErr w:type="spellEnd"/>
            <w:r>
              <w:rPr>
                <w:rFonts w:ascii="Times New Roman" w:hAnsi="Times New Roman"/>
                <w:b/>
                <w:color w:val="auto"/>
                <w:sz w:val="24"/>
              </w:rPr>
              <w:t xml:space="preserve"> ieskaitu: vērtība saskaņā ar grāmatvedības regulējumu</w:t>
            </w:r>
          </w:p>
          <w:p w14:paraId="444FD556" w14:textId="0460319C" w:rsidR="00CB48CC" w:rsidRPr="000B66BC" w:rsidRDefault="0073197F" w:rsidP="000B66BC">
            <w:pPr>
              <w:pStyle w:val="BodyText1"/>
              <w:spacing w:after="240" w:line="240" w:lineRule="auto"/>
              <w:rPr>
                <w:rFonts w:ascii="Times New Roman" w:hAnsi="Times New Roman"/>
                <w:color w:val="auto"/>
                <w:sz w:val="24"/>
                <w:szCs w:val="24"/>
              </w:rPr>
            </w:pPr>
            <w:r>
              <w:rPr>
                <w:rFonts w:ascii="Times New Roman" w:hAnsi="Times New Roman"/>
                <w:sz w:val="24"/>
              </w:rPr>
              <w:t>Regulas (ES) Nr. 575/2013 429.b panta 2. un 3. punkts</w:t>
            </w:r>
          </w:p>
          <w:p w14:paraId="5FF92BE1" w14:textId="795BE2F1"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sz w:val="24"/>
              </w:rPr>
              <w:t>Naudas kopfonda veidošanas shēmu uzskaites vērtība, t. i., tādu shēmu uzskaites vērtība, ar kurām vairāku atsevišķu kontu kredīta vai debeta atlikumus apvieno naudas vai likviditātes pārvaldības vajadzībām un kam var veikt savstarpēju ieskaitu saskaņā ar Regulas (ES) Nr. 575/2013 429.b panta 2. un 3. punktu.</w:t>
            </w:r>
          </w:p>
        </w:tc>
      </w:tr>
      <w:tr w:rsidR="00CB48CC" w:rsidRPr="00E75BB8" w14:paraId="0FD5A27F" w14:textId="77777777" w:rsidTr="008979D2">
        <w:trPr>
          <w:trHeight w:val="304"/>
        </w:trPr>
        <w:tc>
          <w:tcPr>
            <w:tcW w:w="1555" w:type="dxa"/>
            <w:gridSpan w:val="2"/>
            <w:tcBorders>
              <w:bottom w:val="single" w:sz="4" w:space="0" w:color="auto"/>
            </w:tcBorders>
          </w:tcPr>
          <w:p w14:paraId="4CBB43FC" w14:textId="18B8DCAA"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{0196;0010}</w:t>
            </w:r>
          </w:p>
          <w:p w14:paraId="472BF07D"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BB5D25C"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Naudas kopfonda veidošanas shēmas, kurām var piemērot </w:t>
            </w:r>
            <w:proofErr w:type="spellStart"/>
            <w:r>
              <w:rPr>
                <w:rFonts w:ascii="Times New Roman" w:hAnsi="Times New Roman"/>
                <w:b/>
                <w:color w:val="auto"/>
                <w:sz w:val="24"/>
              </w:rPr>
              <w:t>prudenciālo</w:t>
            </w:r>
            <w:proofErr w:type="spellEnd"/>
            <w:r>
              <w:rPr>
                <w:rFonts w:ascii="Times New Roman" w:hAnsi="Times New Roman"/>
                <w:b/>
                <w:color w:val="auto"/>
                <w:sz w:val="24"/>
              </w:rPr>
              <w:t xml:space="preserve"> ieskaitu: ietekme, kas rodas, summējot savstarpējo ieskaitu atbilstoši grāmatvedības regulējumam</w:t>
            </w:r>
          </w:p>
          <w:p w14:paraId="770F0F10" w14:textId="551E3D5F" w:rsidR="00CB48CC" w:rsidRPr="000B66BC" w:rsidRDefault="009F6A59" w:rsidP="000B66BC">
            <w:pPr>
              <w:pStyle w:val="BodyText1"/>
              <w:spacing w:after="240" w:line="240" w:lineRule="auto"/>
              <w:rPr>
                <w:rFonts w:ascii="Times New Roman" w:hAnsi="Times New Roman"/>
                <w:color w:val="auto"/>
                <w:sz w:val="24"/>
                <w:szCs w:val="24"/>
              </w:rPr>
            </w:pPr>
            <w:r>
              <w:rPr>
                <w:rFonts w:ascii="Times New Roman" w:hAnsi="Times New Roman"/>
                <w:sz w:val="24"/>
              </w:rPr>
              <w:t>Regulas (ES) Nr. 575/2013 429.b panta 2. un 3. punkts</w:t>
            </w:r>
          </w:p>
          <w:p w14:paraId="4F594E25" w14:textId="2FF29B12" w:rsidR="00864866" w:rsidRPr="000B66BC" w:rsidRDefault="00CB48CC" w:rsidP="000B66BC">
            <w:pPr>
              <w:pStyle w:val="BodyText1"/>
              <w:spacing w:after="240"/>
              <w:rPr>
                <w:rFonts w:ascii="Times New Roman" w:hAnsi="Times New Roman"/>
                <w:color w:val="auto"/>
                <w:sz w:val="24"/>
                <w:szCs w:val="24"/>
              </w:rPr>
            </w:pPr>
            <w:r>
              <w:rPr>
                <w:rFonts w:ascii="Times New Roman" w:hAnsi="Times New Roman"/>
                <w:color w:val="auto"/>
                <w:sz w:val="24"/>
              </w:rPr>
              <w:t xml:space="preserve">Ieskaita summa saskaņā ar piemērojamo grāmatvedības regulējumu attiecībā uz naudas kopfonda veidošanas shēmām, ko nevar savstarpēji ieskaitīt </w:t>
            </w:r>
            <w:proofErr w:type="spellStart"/>
            <w:r>
              <w:rPr>
                <w:rFonts w:ascii="Times New Roman" w:hAnsi="Times New Roman"/>
                <w:color w:val="auto"/>
                <w:sz w:val="24"/>
              </w:rPr>
              <w:t>prudenciāli</w:t>
            </w:r>
            <w:proofErr w:type="spellEnd"/>
            <w:r>
              <w:rPr>
                <w:rFonts w:ascii="Times New Roman" w:hAnsi="Times New Roman"/>
                <w:color w:val="auto"/>
                <w:sz w:val="24"/>
              </w:rPr>
              <w:t>, uzrādīta {0195;0010}.</w:t>
            </w:r>
          </w:p>
          <w:p w14:paraId="14E77DE6" w14:textId="4279D111" w:rsidR="00CB48CC" w:rsidRPr="000B66BC" w:rsidRDefault="00166A6F" w:rsidP="000B66BC">
            <w:pPr>
              <w:pStyle w:val="BodyText1"/>
              <w:spacing w:after="240"/>
              <w:rPr>
                <w:rFonts w:ascii="Times New Roman" w:hAnsi="Times New Roman"/>
                <w:color w:val="auto"/>
                <w:sz w:val="24"/>
                <w:szCs w:val="24"/>
              </w:rPr>
            </w:pPr>
            <w:r>
              <w:rPr>
                <w:rFonts w:ascii="Times New Roman" w:hAnsi="Times New Roman"/>
                <w:color w:val="auto"/>
                <w:sz w:val="24"/>
              </w:rPr>
              <w:t>Ja iestāde atbilst 429.b panta 2. punkta b) apakšpunktam, tā šajā rindā nepiemēro summēšanu atlikumiem, kas dzēsti, pamatojoties uz 429.b panta 2. punkta a) apakšpunktā noteikto procesu.</w:t>
            </w:r>
          </w:p>
        </w:tc>
      </w:tr>
      <w:tr w:rsidR="00CB48CC" w:rsidRPr="00E75BB8" w14:paraId="6C598455" w14:textId="77777777" w:rsidTr="008979D2">
        <w:trPr>
          <w:trHeight w:val="304"/>
        </w:trPr>
        <w:tc>
          <w:tcPr>
            <w:tcW w:w="1555" w:type="dxa"/>
            <w:gridSpan w:val="2"/>
            <w:tcBorders>
              <w:bottom w:val="single" w:sz="4" w:space="0" w:color="auto"/>
            </w:tcBorders>
          </w:tcPr>
          <w:p w14:paraId="11C78F9F" w14:textId="649683AF"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{0197;0010}</w:t>
            </w:r>
          </w:p>
          <w:p w14:paraId="2FDD840E"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01FD6E4" w14:textId="2EE44330"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 Naudas kopfonda veidošanas shēmas, kurām var piemērot </w:t>
            </w:r>
            <w:proofErr w:type="spellStart"/>
            <w:r>
              <w:rPr>
                <w:rFonts w:ascii="Times New Roman" w:hAnsi="Times New Roman"/>
                <w:b/>
                <w:color w:val="auto"/>
                <w:sz w:val="24"/>
              </w:rPr>
              <w:t>prudenciālo</w:t>
            </w:r>
            <w:proofErr w:type="spellEnd"/>
            <w:r>
              <w:rPr>
                <w:rFonts w:ascii="Times New Roman" w:hAnsi="Times New Roman"/>
                <w:b/>
                <w:color w:val="auto"/>
                <w:sz w:val="24"/>
              </w:rPr>
              <w:t xml:space="preserve"> ieskaitu: savstarpējā ieskaita atzīšana saskaņā ar KPR 429.b panta 2. punktu</w:t>
            </w:r>
          </w:p>
          <w:p w14:paraId="52C1DAD6" w14:textId="04254F3D"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sz w:val="24"/>
              </w:rPr>
              <w:t>Regulas (ES) Nr. 575/2013 429.b panta 2. punkts.</w:t>
            </w:r>
          </w:p>
          <w:p w14:paraId="6514DC6F" w14:textId="4B1A16D6"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rPr>
              <w:t>Summa, kas atskaitīta no bruto riska darījumu vērtības par naudas kopfonda veidošanas shēmām (0195. un 0196. rindas summa) saskaņā ar 429.b panta 2. punktu.</w:t>
            </w:r>
          </w:p>
        </w:tc>
      </w:tr>
      <w:tr w:rsidR="00CB48CC" w:rsidRPr="00E75BB8" w14:paraId="6681A527" w14:textId="77777777" w:rsidTr="008979D2">
        <w:trPr>
          <w:trHeight w:val="304"/>
        </w:trPr>
        <w:tc>
          <w:tcPr>
            <w:tcW w:w="1555" w:type="dxa"/>
            <w:gridSpan w:val="2"/>
            <w:tcBorders>
              <w:bottom w:val="single" w:sz="4" w:space="0" w:color="auto"/>
            </w:tcBorders>
          </w:tcPr>
          <w:p w14:paraId="4136B44E" w14:textId="263B95A4"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{0198;0010}</w:t>
            </w:r>
          </w:p>
          <w:p w14:paraId="6AAFDEE3"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806A066" w14:textId="6CD24279"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 Naudas kopfonda veidošanas shēmas, kurām var piemērot </w:t>
            </w:r>
            <w:proofErr w:type="spellStart"/>
            <w:r>
              <w:rPr>
                <w:rFonts w:ascii="Times New Roman" w:hAnsi="Times New Roman"/>
                <w:b/>
                <w:color w:val="auto"/>
                <w:sz w:val="24"/>
              </w:rPr>
              <w:t>prudenciālo</w:t>
            </w:r>
            <w:proofErr w:type="spellEnd"/>
            <w:r>
              <w:rPr>
                <w:rFonts w:ascii="Times New Roman" w:hAnsi="Times New Roman"/>
                <w:b/>
                <w:color w:val="auto"/>
                <w:sz w:val="24"/>
              </w:rPr>
              <w:t xml:space="preserve"> ieskaitu: Savstarpējā ieskaita atzīšana saskaņā ar KPR 429.b panta 3. punktu</w:t>
            </w:r>
          </w:p>
          <w:p w14:paraId="10AA0B56" w14:textId="265D95F4"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sz w:val="24"/>
              </w:rPr>
              <w:t xml:space="preserve">Regulas (ES) Nr. 575/2013 429.b panta 3. punkts. </w:t>
            </w:r>
            <w:r>
              <w:rPr>
                <w:rFonts w:ascii="Times New Roman" w:hAnsi="Times New Roman"/>
                <w:color w:val="auto"/>
                <w:sz w:val="24"/>
              </w:rPr>
              <w:t>Summa, kas atskaitīta no bruto riska darījumu vērtības par naudas kopfonda veidošanas shēmām (0195. un 0196. rindas summa) saskaņā ar 429.b panta 3. punktu.</w:t>
            </w:r>
          </w:p>
        </w:tc>
      </w:tr>
      <w:tr w:rsidR="00CB48CC" w:rsidRPr="00E75BB8" w14:paraId="3E08AE39" w14:textId="77777777" w:rsidTr="008979D2">
        <w:trPr>
          <w:trHeight w:val="304"/>
        </w:trPr>
        <w:tc>
          <w:tcPr>
            <w:tcW w:w="1555" w:type="dxa"/>
            <w:gridSpan w:val="2"/>
            <w:tcBorders>
              <w:bottom w:val="single" w:sz="4" w:space="0" w:color="auto"/>
            </w:tcBorders>
          </w:tcPr>
          <w:p w14:paraId="16A9AAE1" w14:textId="7B5874EF"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{0200;0010}</w:t>
            </w:r>
          </w:p>
        </w:tc>
        <w:tc>
          <w:tcPr>
            <w:tcW w:w="7566" w:type="dxa"/>
            <w:tcBorders>
              <w:bottom w:val="single" w:sz="4" w:space="0" w:color="auto"/>
            </w:tcBorders>
          </w:tcPr>
          <w:p w14:paraId="060D27D3"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Bruto palielinājums sniegtajam atvasināto instrumentu nodrošinājumam</w:t>
            </w:r>
          </w:p>
          <w:p w14:paraId="2AA08714" w14:textId="6F4E6D5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Regulas (ES) Nr. 575/2013 429.c panta 2. punkts.</w:t>
            </w:r>
          </w:p>
          <w:p w14:paraId="6B6AC708" w14:textId="2EC6335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Sniegtā atvasināto instrumentu nodrošinājuma summa, ja minētā nodrošinājuma sniegšana samazina aktīvu summu saskaņā ar piemērojamo grāmatvedības regulējumu, kā noteikts Regulas (ES) Nr. 575/2013 429.c panta 2. punktā.</w:t>
            </w:r>
          </w:p>
          <w:p w14:paraId="3815F945" w14:textId="04AC9768"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 xml:space="preserve">Iestādes šajā šūnā neietver sākotnējo drošības rezervi atvasināto instrumentu darījumiem ar atbilstīgu </w:t>
            </w:r>
            <w:r>
              <w:rPr>
                <w:rFonts w:ascii="Times New Roman" w:hAnsi="Times New Roman"/>
                <w:i/>
                <w:iCs/>
                <w:sz w:val="24"/>
              </w:rPr>
              <w:t>CCP</w:t>
            </w:r>
            <w:r>
              <w:rPr>
                <w:rFonts w:ascii="Times New Roman" w:hAnsi="Times New Roman"/>
                <w:sz w:val="24"/>
              </w:rPr>
              <w:t xml:space="preserve"> (</w:t>
            </w:r>
            <w:r>
              <w:rPr>
                <w:rFonts w:ascii="Times New Roman" w:hAnsi="Times New Roman"/>
                <w:i/>
                <w:iCs/>
                <w:sz w:val="24"/>
              </w:rPr>
              <w:t>QCCP</w:t>
            </w:r>
            <w:r>
              <w:rPr>
                <w:rFonts w:ascii="Times New Roman" w:hAnsi="Times New Roman"/>
                <w:sz w:val="24"/>
              </w:rPr>
              <w:t xml:space="preserve">), kam veikta klientu </w:t>
            </w:r>
            <w:proofErr w:type="spellStart"/>
            <w:r>
              <w:rPr>
                <w:rFonts w:ascii="Times New Roman" w:hAnsi="Times New Roman"/>
                <w:sz w:val="24"/>
              </w:rPr>
              <w:t>tīrvērte</w:t>
            </w:r>
            <w:proofErr w:type="spellEnd"/>
            <w:r>
              <w:rPr>
                <w:rFonts w:ascii="Times New Roman" w:hAnsi="Times New Roman"/>
                <w:sz w:val="24"/>
              </w:rPr>
              <w:t>, vai atbilstīgu naudas mainīgo drošības rezervi, kā noteikts Regulas (ES) Nr. 575/2013 429.c panta 3. punktā.</w:t>
            </w:r>
          </w:p>
        </w:tc>
      </w:tr>
      <w:tr w:rsidR="00CB48CC" w:rsidRPr="00E75BB8" w14:paraId="5CAE26AC" w14:textId="77777777" w:rsidTr="008979D2">
        <w:trPr>
          <w:trHeight w:val="304"/>
        </w:trPr>
        <w:tc>
          <w:tcPr>
            <w:tcW w:w="1555" w:type="dxa"/>
            <w:gridSpan w:val="2"/>
            <w:tcBorders>
              <w:bottom w:val="single" w:sz="4" w:space="0" w:color="auto"/>
            </w:tcBorders>
          </w:tcPr>
          <w:p w14:paraId="6E109898" w14:textId="552996B4"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{0210;0010}</w:t>
            </w:r>
          </w:p>
        </w:tc>
        <w:tc>
          <w:tcPr>
            <w:tcW w:w="7566" w:type="dxa"/>
            <w:tcBorders>
              <w:bottom w:val="single" w:sz="4" w:space="0" w:color="auto"/>
            </w:tcBorders>
          </w:tcPr>
          <w:p w14:paraId="0DBB01E6"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Debitoru parādi par atvasināto instrumentu darījumos iesniegto naudas mainīgo drošības rezervi</w:t>
            </w:r>
          </w:p>
          <w:p w14:paraId="353AEF67" w14:textId="6C391B7D" w:rsidR="00CB48CC" w:rsidRPr="000B66BC" w:rsidRDefault="001475A2" w:rsidP="000B66BC">
            <w:pPr>
              <w:pStyle w:val="BodyText1"/>
              <w:spacing w:after="240" w:line="240" w:lineRule="auto"/>
              <w:rPr>
                <w:rFonts w:ascii="Times New Roman" w:hAnsi="Times New Roman"/>
                <w:bCs/>
                <w:sz w:val="24"/>
                <w:szCs w:val="24"/>
              </w:rPr>
            </w:pPr>
            <w:r>
              <w:rPr>
                <w:rFonts w:ascii="Times New Roman" w:hAnsi="Times New Roman"/>
                <w:sz w:val="24"/>
              </w:rPr>
              <w:t>Regulas (ES) Nr. 575/2013 429.c panta 3. punkta c) apakšpunkts.</w:t>
            </w:r>
          </w:p>
          <w:p w14:paraId="43A45BE7" w14:textId="65E078C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Debitoru parādi par mainīgo drošības rezervi, kas naudā izmaksāta atvasināto instrumentu darījumos, ja iestādei saskaņā ar piemērojamo grāmatvedības regulējumu ir jāatzīst šie debitoru parādi par aktīviem, ar nosacījumu, ka ir izpildīti Regulas (ES) Nr. 575/2013 429.c panta 3. punkta a) līdz e) apakšpunktā minētie nosacījumi.</w:t>
            </w:r>
          </w:p>
          <w:p w14:paraId="5E1EBFBA" w14:textId="5DE4D171"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Uzrādīto summu iekļauj arī citos aktīvos, ko uzrāda {0190;0010}.</w:t>
            </w:r>
          </w:p>
        </w:tc>
      </w:tr>
      <w:tr w:rsidR="00CB48CC" w:rsidRPr="00E75BB8" w14:paraId="7004E9E4" w14:textId="77777777" w:rsidTr="008979D2">
        <w:trPr>
          <w:trHeight w:val="304"/>
        </w:trPr>
        <w:tc>
          <w:tcPr>
            <w:tcW w:w="1555" w:type="dxa"/>
            <w:gridSpan w:val="2"/>
            <w:tcBorders>
              <w:bottom w:val="single" w:sz="4" w:space="0" w:color="auto"/>
            </w:tcBorders>
          </w:tcPr>
          <w:p w14:paraId="200E881A" w14:textId="0436C5A2"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{0220;0010}</w:t>
            </w:r>
          </w:p>
        </w:tc>
        <w:tc>
          <w:tcPr>
            <w:tcW w:w="7566" w:type="dxa"/>
            <w:tcBorders>
              <w:bottom w:val="single" w:sz="4" w:space="0" w:color="auto"/>
            </w:tcBorders>
          </w:tcPr>
          <w:p w14:paraId="68880B55"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xml:space="preserve">(–) Atbrīvotā </w:t>
            </w:r>
            <w:r>
              <w:rPr>
                <w:rFonts w:ascii="Times New Roman" w:hAnsi="Times New Roman"/>
                <w:b/>
                <w:i/>
                <w:iCs/>
                <w:sz w:val="24"/>
              </w:rPr>
              <w:t>CCP</w:t>
            </w:r>
            <w:r>
              <w:rPr>
                <w:rFonts w:ascii="Times New Roman" w:hAnsi="Times New Roman"/>
                <w:b/>
                <w:sz w:val="24"/>
              </w:rPr>
              <w:t xml:space="preserve"> daļa tirdzniecības riska darījumos ar klientu veiktu </w:t>
            </w:r>
            <w:proofErr w:type="spellStart"/>
            <w:r>
              <w:rPr>
                <w:rFonts w:ascii="Times New Roman" w:hAnsi="Times New Roman"/>
                <w:b/>
                <w:sz w:val="24"/>
              </w:rPr>
              <w:t>tīrvērti</w:t>
            </w:r>
            <w:proofErr w:type="spellEnd"/>
            <w:r>
              <w:rPr>
                <w:rFonts w:ascii="Times New Roman" w:hAnsi="Times New Roman"/>
                <w:b/>
                <w:sz w:val="24"/>
              </w:rPr>
              <w:t xml:space="preserve"> (sākotnējā drošības rezerve)</w:t>
            </w:r>
          </w:p>
          <w:p w14:paraId="3E812C65" w14:textId="6F86598F" w:rsidR="00CB48CC" w:rsidRPr="000B66BC" w:rsidRDefault="001475A2" w:rsidP="000B66BC">
            <w:pPr>
              <w:pStyle w:val="BodyText1"/>
              <w:spacing w:after="240" w:line="240" w:lineRule="auto"/>
              <w:rPr>
                <w:rFonts w:ascii="Times New Roman" w:hAnsi="Times New Roman"/>
                <w:bCs/>
                <w:sz w:val="24"/>
                <w:szCs w:val="24"/>
              </w:rPr>
            </w:pPr>
            <w:r>
              <w:rPr>
                <w:rFonts w:ascii="Times New Roman" w:hAnsi="Times New Roman"/>
                <w:sz w:val="24"/>
              </w:rPr>
              <w:t>Regulas (ES) Nr. 575/2013 429.a panta 1. punkta g) apakšpunkts.</w:t>
            </w:r>
          </w:p>
          <w:p w14:paraId="5FE3535A" w14:textId="1026B90A"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 xml:space="preserve">(Sniegtās) sākotnējās drošības rezerves komponents atbrīvotos tirdzniecības riska darījumos ar </w:t>
            </w:r>
            <w:r>
              <w:rPr>
                <w:rFonts w:ascii="Times New Roman" w:hAnsi="Times New Roman"/>
                <w:i/>
                <w:iCs/>
                <w:sz w:val="24"/>
              </w:rPr>
              <w:t>QCCP</w:t>
            </w:r>
            <w:r>
              <w:rPr>
                <w:rFonts w:ascii="Times New Roman" w:hAnsi="Times New Roman"/>
                <w:sz w:val="24"/>
              </w:rPr>
              <w:t xml:space="preserve"> no atvasināto instrumentu darījumiem ar klientu veiktu </w:t>
            </w:r>
            <w:proofErr w:type="spellStart"/>
            <w:r>
              <w:rPr>
                <w:rFonts w:ascii="Times New Roman" w:hAnsi="Times New Roman"/>
                <w:sz w:val="24"/>
              </w:rPr>
              <w:t>tīrvērti</w:t>
            </w:r>
            <w:proofErr w:type="spellEnd"/>
            <w:r>
              <w:rPr>
                <w:rFonts w:ascii="Times New Roman" w:hAnsi="Times New Roman"/>
                <w:sz w:val="24"/>
              </w:rPr>
              <w:t>, ar nosacījumu, ka minētie posteņi atbilst nosacījumiem, kas paredzēti Regulas (ES) Nr. 575/2013 306. panta 1. punkta c) apakšpunktā.</w:t>
            </w:r>
          </w:p>
          <w:p w14:paraId="6C360905" w14:textId="21F19BE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Uzrādīto summu iekļauj arī citos aktīvos, ko uzrāda {0190;0010}.</w:t>
            </w:r>
          </w:p>
        </w:tc>
      </w:tr>
      <w:tr w:rsidR="00CB48CC" w:rsidRPr="00E75BB8" w14:paraId="49F39ED5" w14:textId="77777777" w:rsidTr="008979D2">
        <w:trPr>
          <w:trHeight w:val="304"/>
        </w:trPr>
        <w:tc>
          <w:tcPr>
            <w:tcW w:w="1555" w:type="dxa"/>
            <w:gridSpan w:val="2"/>
            <w:tcBorders>
              <w:bottom w:val="single" w:sz="4" w:space="0" w:color="auto"/>
            </w:tcBorders>
          </w:tcPr>
          <w:p w14:paraId="078DD162" w14:textId="26EF1E5A"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{0230;0010}</w:t>
            </w:r>
          </w:p>
        </w:tc>
        <w:tc>
          <w:tcPr>
            <w:tcW w:w="7566" w:type="dxa"/>
            <w:tcBorders>
              <w:bottom w:val="single" w:sz="4" w:space="0" w:color="auto"/>
            </w:tcBorders>
          </w:tcPr>
          <w:p w14:paraId="66A65253"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Korekcija attiecībā uz darījumiem, kuri uzskaitīti kā VFD tirdzniecība</w:t>
            </w:r>
          </w:p>
          <w:p w14:paraId="46B4994C" w14:textId="3895724D" w:rsidR="00CB48CC" w:rsidRPr="00D51F9E"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Regulas (ES) Nr. 575/2013 429.e panta 6. punkts.</w:t>
            </w:r>
          </w:p>
          <w:p w14:paraId="05B69EB8" w14:textId="4CF799C1"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 xml:space="preserve">Tādu aizdoto vērtspapīru vērtība </w:t>
            </w:r>
            <w:proofErr w:type="spellStart"/>
            <w:r>
              <w:rPr>
                <w:rFonts w:ascii="Times New Roman" w:hAnsi="Times New Roman"/>
                <w:sz w:val="24"/>
              </w:rPr>
              <w:t>repo</w:t>
            </w:r>
            <w:proofErr w:type="spellEnd"/>
            <w:r>
              <w:rPr>
                <w:rFonts w:ascii="Times New Roman" w:hAnsi="Times New Roman"/>
                <w:sz w:val="24"/>
              </w:rPr>
              <w:t xml:space="preserve"> darījumā, kam pārtraukta atzīšana sakarā ar darījumu, kas uzskaitīts kā tirdzniecība, saskaņā ar piemērojamo grāmatvedības regulējumu.</w:t>
            </w:r>
          </w:p>
        </w:tc>
      </w:tr>
      <w:tr w:rsidR="00CB48CC" w:rsidRPr="00E75BB8" w14:paraId="5CBC395D" w14:textId="77777777" w:rsidTr="008979D2">
        <w:trPr>
          <w:trHeight w:val="304"/>
        </w:trPr>
        <w:tc>
          <w:tcPr>
            <w:tcW w:w="1555" w:type="dxa"/>
            <w:gridSpan w:val="2"/>
            <w:tcBorders>
              <w:bottom w:val="single" w:sz="4" w:space="0" w:color="auto"/>
            </w:tcBorders>
          </w:tcPr>
          <w:p w14:paraId="22212EBE" w14:textId="01A07AD0"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{0235;0010}</w:t>
            </w:r>
          </w:p>
        </w:tc>
        <w:tc>
          <w:tcPr>
            <w:tcW w:w="7566" w:type="dxa"/>
            <w:tcBorders>
              <w:bottom w:val="single" w:sz="4" w:space="0" w:color="auto"/>
            </w:tcBorders>
          </w:tcPr>
          <w:p w14:paraId="6E0AEEEF"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 </w:t>
            </w:r>
            <w:proofErr w:type="spellStart"/>
            <w:r>
              <w:rPr>
                <w:rFonts w:ascii="Times New Roman" w:hAnsi="Times New Roman"/>
                <w:b/>
                <w:sz w:val="24"/>
              </w:rPr>
              <w:t>Priekšfinansējuma</w:t>
            </w:r>
            <w:proofErr w:type="spellEnd"/>
            <w:r>
              <w:rPr>
                <w:rFonts w:ascii="Times New Roman" w:hAnsi="Times New Roman"/>
                <w:b/>
                <w:sz w:val="24"/>
              </w:rPr>
              <w:t xml:space="preserve"> vai starpposma aizdevumu riska darījuma vērtības samazinājums </w:t>
            </w:r>
          </w:p>
          <w:p w14:paraId="44C18D39" w14:textId="584EBA41" w:rsidR="00131C70" w:rsidRPr="000B66BC" w:rsidRDefault="00131C70" w:rsidP="000B66BC">
            <w:pPr>
              <w:pStyle w:val="BodyText1"/>
              <w:spacing w:after="240" w:line="240" w:lineRule="auto"/>
              <w:rPr>
                <w:rFonts w:ascii="Times New Roman" w:hAnsi="Times New Roman"/>
                <w:bCs/>
                <w:sz w:val="24"/>
                <w:szCs w:val="24"/>
              </w:rPr>
            </w:pPr>
            <w:r>
              <w:rPr>
                <w:rFonts w:ascii="Times New Roman" w:hAnsi="Times New Roman"/>
                <w:sz w:val="24"/>
              </w:rPr>
              <w:t>Regulas (ES) Nr. 575/2013 429. panta 8. punkts.</w:t>
            </w:r>
          </w:p>
          <w:p w14:paraId="211507FA" w14:textId="5F4C37FD" w:rsidR="00131C70" w:rsidRPr="000B66BC" w:rsidRDefault="00131C70" w:rsidP="000B66BC">
            <w:pPr>
              <w:pStyle w:val="BodyText1"/>
              <w:spacing w:after="240"/>
              <w:rPr>
                <w:rFonts w:ascii="Times New Roman" w:hAnsi="Times New Roman"/>
                <w:bCs/>
                <w:sz w:val="24"/>
                <w:szCs w:val="24"/>
              </w:rPr>
            </w:pPr>
            <w:proofErr w:type="spellStart"/>
            <w:r>
              <w:rPr>
                <w:rFonts w:ascii="Times New Roman" w:hAnsi="Times New Roman"/>
                <w:sz w:val="24"/>
              </w:rPr>
              <w:lastRenderedPageBreak/>
              <w:t>Priekšfinansējuma</w:t>
            </w:r>
            <w:proofErr w:type="spellEnd"/>
            <w:r>
              <w:rPr>
                <w:rFonts w:ascii="Times New Roman" w:hAnsi="Times New Roman"/>
                <w:sz w:val="24"/>
              </w:rPr>
              <w:t xml:space="preserve"> vai starpniecības aizdevuma riska darījumu vērtības samazinājuma summa saskaņā ar Regulas (ES) Nr. 575/2013 429. panta 8. punktu.</w:t>
            </w:r>
          </w:p>
          <w:p w14:paraId="28E46325" w14:textId="539EE861" w:rsidR="00131C70" w:rsidRPr="000B66BC" w:rsidRDefault="002662F0" w:rsidP="000B66BC">
            <w:pPr>
              <w:pStyle w:val="BodyText1"/>
              <w:spacing w:after="240" w:line="240" w:lineRule="auto"/>
              <w:rPr>
                <w:rFonts w:ascii="Times New Roman" w:hAnsi="Times New Roman"/>
                <w:b/>
                <w:bCs/>
                <w:sz w:val="24"/>
                <w:szCs w:val="24"/>
              </w:rPr>
            </w:pPr>
            <w:r>
              <w:rPr>
                <w:rFonts w:ascii="Times New Roman" w:hAnsi="Times New Roman"/>
                <w:sz w:val="24"/>
              </w:rPr>
              <w:t>Uzrādīto summu iekļauj citos aktīvos, ko uzrāda {0190;0010}.</w:t>
            </w:r>
          </w:p>
        </w:tc>
      </w:tr>
      <w:tr w:rsidR="00CB48CC" w:rsidRPr="00E75BB8" w14:paraId="18C57782" w14:textId="77777777" w:rsidTr="008979D2">
        <w:trPr>
          <w:trHeight w:val="304"/>
        </w:trPr>
        <w:tc>
          <w:tcPr>
            <w:tcW w:w="1555" w:type="dxa"/>
            <w:gridSpan w:val="2"/>
            <w:tcBorders>
              <w:bottom w:val="single" w:sz="4" w:space="0" w:color="auto"/>
            </w:tcBorders>
          </w:tcPr>
          <w:p w14:paraId="3BF18418" w14:textId="18069978"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{0240;0010}</w:t>
            </w:r>
          </w:p>
        </w:tc>
        <w:tc>
          <w:tcPr>
            <w:tcW w:w="7566" w:type="dxa"/>
            <w:tcBorders>
              <w:bottom w:val="single" w:sz="4" w:space="0" w:color="auto"/>
            </w:tcBorders>
          </w:tcPr>
          <w:p w14:paraId="3B65685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xml:space="preserve">(-) </w:t>
            </w:r>
            <w:proofErr w:type="spellStart"/>
            <w:r>
              <w:rPr>
                <w:rFonts w:ascii="Times New Roman" w:hAnsi="Times New Roman"/>
                <w:b/>
                <w:sz w:val="24"/>
              </w:rPr>
              <w:t>Fiduciārie</w:t>
            </w:r>
            <w:proofErr w:type="spellEnd"/>
            <w:r>
              <w:rPr>
                <w:rFonts w:ascii="Times New Roman" w:hAnsi="Times New Roman"/>
                <w:b/>
                <w:sz w:val="24"/>
              </w:rPr>
              <w:t xml:space="preserve"> aktīvi</w:t>
            </w:r>
          </w:p>
          <w:p w14:paraId="7B749386" w14:textId="0A0CBFBA" w:rsidR="00CB48CC" w:rsidRPr="000B66BC" w:rsidRDefault="00520E26" w:rsidP="000B66BC">
            <w:pPr>
              <w:pStyle w:val="BodyText1"/>
              <w:spacing w:after="240" w:line="240" w:lineRule="auto"/>
              <w:rPr>
                <w:rFonts w:ascii="Times New Roman" w:hAnsi="Times New Roman"/>
                <w:bCs/>
                <w:sz w:val="24"/>
                <w:szCs w:val="24"/>
              </w:rPr>
            </w:pPr>
            <w:r>
              <w:rPr>
                <w:rFonts w:ascii="Times New Roman" w:hAnsi="Times New Roman"/>
                <w:sz w:val="24"/>
              </w:rPr>
              <w:t>Regulas (ES) Nr. 575/2013 429.a panta 1. punkta i) apakšpunkts.</w:t>
            </w:r>
          </w:p>
          <w:p w14:paraId="0AD4C34E" w14:textId="2623FBBE"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SFPS kritērijiem par atzīšanas pārtraukšanu un attiecīgā gadījumā 10. SFPS attiecībā uz nekonsolidēšanu saskaņā ar Regulas (ES) Nr. 575/2013 429.a panta 1. punkta i) apakšpunktu, pieņemot, ka nav grāmatvedības savstarpējo prasījumu ieskaita vai citas KRM ietekmes (proti, apvērš jebkādu grāmatvedības savstarpējo prasījumu ieskaita vai KRM ietekmi, kas ietekmējusi uzskaites vērtību).</w:t>
            </w:r>
          </w:p>
          <w:p w14:paraId="3BDFEE4B" w14:textId="1245B02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Uzrādīto summu iekļauj arī citos aktīvos, ko uzrāda {0190;0010}.</w:t>
            </w:r>
          </w:p>
        </w:tc>
      </w:tr>
      <w:tr w:rsidR="00CB48CC" w:rsidRPr="00E75BB8" w14:paraId="6FE4C909" w14:textId="77777777" w:rsidTr="008979D2">
        <w:trPr>
          <w:trHeight w:val="304"/>
        </w:trPr>
        <w:tc>
          <w:tcPr>
            <w:tcW w:w="1555" w:type="dxa"/>
            <w:gridSpan w:val="2"/>
            <w:tcBorders>
              <w:bottom w:val="single" w:sz="4" w:space="0" w:color="auto"/>
            </w:tcBorders>
          </w:tcPr>
          <w:p w14:paraId="6A867BE8" w14:textId="56A136F0"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{0250;0010}</w:t>
            </w:r>
          </w:p>
        </w:tc>
        <w:tc>
          <w:tcPr>
            <w:tcW w:w="7566" w:type="dxa"/>
            <w:tcBorders>
              <w:bottom w:val="single" w:sz="4" w:space="0" w:color="auto"/>
            </w:tcBorders>
          </w:tcPr>
          <w:p w14:paraId="444C70A3" w14:textId="69402B4C"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Grupas iekšējie riska darījumi (individuālā līmenī), kas ir atbrīvoti saskaņā ar KPR 429.a panta 1. punktu</w:t>
            </w:r>
          </w:p>
          <w:p w14:paraId="1E2E0D64" w14:textId="4D7D7234" w:rsidR="00CB48CC" w:rsidRPr="000B66BC" w:rsidRDefault="00010563" w:rsidP="000B66BC">
            <w:pPr>
              <w:pStyle w:val="BodyText1"/>
              <w:spacing w:after="240" w:line="240" w:lineRule="auto"/>
              <w:rPr>
                <w:rFonts w:ascii="Times New Roman" w:hAnsi="Times New Roman"/>
                <w:bCs/>
                <w:sz w:val="24"/>
                <w:szCs w:val="24"/>
              </w:rPr>
            </w:pPr>
            <w:r>
              <w:rPr>
                <w:rFonts w:ascii="Times New Roman" w:hAnsi="Times New Roman"/>
                <w:sz w:val="24"/>
              </w:rPr>
              <w:t>Regulas (ES) Nr. 575/2013 429.a panta 1. punkta c) apakšpunkts un 113. panta 6. punkts.</w:t>
            </w:r>
          </w:p>
          <w:p w14:paraId="76D582E8" w14:textId="03A6394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Riska darījumi, kas nav konsolidēti konsolidācijas piemērojamajā līmenī un kas var gūt labumu no Regulas (ES) Nr. 575/2013 113. panta 6. punktā noteiktās kārtības, ja ir izpildīti visi nosacījumi, kas izklāstīti Regulas (ES) Nr. 575/2013 113. panta 6. punkta a) līdz e) apakšpunktā un ja attiecīgās kompetentās iestādes ir piešķīrušas atļauju.</w:t>
            </w:r>
          </w:p>
          <w:p w14:paraId="01853F94" w14:textId="1684672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Norādīto summu iekļauj arī iepriekš norādītajās piemērojamajās šūnās, it kā netiktu piemērots izņēmums.</w:t>
            </w:r>
          </w:p>
        </w:tc>
      </w:tr>
      <w:tr w:rsidR="00CB48CC" w:rsidRPr="00E75BB8" w14:paraId="38D7A9B9" w14:textId="77777777" w:rsidTr="008979D2">
        <w:trPr>
          <w:trHeight w:val="304"/>
        </w:trPr>
        <w:tc>
          <w:tcPr>
            <w:tcW w:w="1555" w:type="dxa"/>
            <w:gridSpan w:val="2"/>
            <w:tcBorders>
              <w:bottom w:val="single" w:sz="4" w:space="0" w:color="auto"/>
            </w:tcBorders>
          </w:tcPr>
          <w:p w14:paraId="370147EC" w14:textId="12EDC221"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{0251;0010}</w:t>
            </w:r>
          </w:p>
        </w:tc>
        <w:tc>
          <w:tcPr>
            <w:tcW w:w="7566" w:type="dxa"/>
            <w:tcBorders>
              <w:bottom w:val="single" w:sz="4" w:space="0" w:color="auto"/>
            </w:tcBorders>
          </w:tcPr>
          <w:p w14:paraId="4730EC18" w14:textId="4AA5BCE0" w:rsidR="00CB48CC" w:rsidRPr="000B66BC" w:rsidRDefault="00CB48CC" w:rsidP="000B66BC">
            <w:pPr>
              <w:spacing w:after="240"/>
              <w:jc w:val="both"/>
              <w:rPr>
                <w:rFonts w:ascii="Times New Roman" w:hAnsi="Times New Roman"/>
                <w:b/>
                <w:color w:val="auto"/>
                <w:sz w:val="24"/>
                <w:szCs w:val="24"/>
              </w:rPr>
            </w:pPr>
            <w:r>
              <w:rPr>
                <w:rFonts w:ascii="Times New Roman" w:hAnsi="Times New Roman"/>
                <w:b/>
                <w:color w:val="auto"/>
                <w:sz w:val="24"/>
              </w:rPr>
              <w:t xml:space="preserve">(–) IPS riska darījumi, kas ir atbrīvoti saskaņā ar KPR 429.a panta 1. punkta c) apakšpunktu </w:t>
            </w:r>
          </w:p>
          <w:p w14:paraId="7A5F0217" w14:textId="1AEEF28A" w:rsidR="00CB48CC" w:rsidRPr="000B66BC" w:rsidRDefault="009433A7" w:rsidP="000B66BC">
            <w:pPr>
              <w:pStyle w:val="BodyText1"/>
              <w:spacing w:after="240" w:line="240" w:lineRule="auto"/>
              <w:rPr>
                <w:rFonts w:ascii="Times New Roman" w:hAnsi="Times New Roman"/>
                <w:bCs/>
                <w:sz w:val="24"/>
                <w:szCs w:val="24"/>
              </w:rPr>
            </w:pPr>
            <w:r>
              <w:rPr>
                <w:rFonts w:ascii="Times New Roman" w:hAnsi="Times New Roman"/>
                <w:sz w:val="24"/>
              </w:rPr>
              <w:t>Regulas (ES) Nr. 575/2013 429.a panta 1. punkta c) apakšpunkts un 113. panta 7. punkts.</w:t>
            </w:r>
          </w:p>
          <w:p w14:paraId="16C42B04" w14:textId="0BA4DB2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Riska darījumi, uz kuriem var attiecināt Regulas (ES) Nr. 575/2013 113. panta 7. punktā noteikto pieeju, ar nosacījumu, ka ir izpildīti visi nosacījumi, kas paredzēti Regulas (ES) Nr. 575/2013 113. panta 7. punkta a) līdz i) apakšpunktā, un ja kompetentās iestādes ir devušas savu atļauju.</w:t>
            </w:r>
          </w:p>
          <w:p w14:paraId="3349FF66" w14:textId="7075C424"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Norādīto summu iekļauj arī iepriekš norādītajās piemērojamajās šūnās, it kā netiktu piemērots izņēmums.</w:t>
            </w:r>
          </w:p>
        </w:tc>
      </w:tr>
      <w:tr w:rsidR="003D12C1" w:rsidRPr="00E75BB8" w14:paraId="74420A08" w14:textId="77777777" w:rsidTr="008979D2">
        <w:trPr>
          <w:trHeight w:val="304"/>
        </w:trPr>
        <w:tc>
          <w:tcPr>
            <w:tcW w:w="1555" w:type="dxa"/>
            <w:gridSpan w:val="2"/>
            <w:tcBorders>
              <w:bottom w:val="single" w:sz="4" w:space="0" w:color="auto"/>
            </w:tcBorders>
          </w:tcPr>
          <w:p w14:paraId="24AEF8FA" w14:textId="4344C276" w:rsidR="003D12C1" w:rsidRPr="000B66BC" w:rsidRDefault="003D12C1" w:rsidP="000B66BC">
            <w:pPr>
              <w:pStyle w:val="BodyText1"/>
              <w:spacing w:after="240"/>
              <w:rPr>
                <w:rFonts w:ascii="Times New Roman" w:hAnsi="Times New Roman"/>
                <w:bCs/>
                <w:sz w:val="24"/>
                <w:szCs w:val="24"/>
              </w:rPr>
            </w:pPr>
            <w:r>
              <w:rPr>
                <w:rFonts w:ascii="Times New Roman" w:hAnsi="Times New Roman"/>
                <w:sz w:val="24"/>
              </w:rPr>
              <w:lastRenderedPageBreak/>
              <w:t>{0900;0010}</w:t>
            </w:r>
          </w:p>
        </w:tc>
        <w:tc>
          <w:tcPr>
            <w:tcW w:w="7566" w:type="dxa"/>
            <w:tcBorders>
              <w:bottom w:val="single" w:sz="4" w:space="0" w:color="auto"/>
            </w:tcBorders>
          </w:tcPr>
          <w:p w14:paraId="0F7B2C03" w14:textId="4E78668C" w:rsidR="003D12C1" w:rsidRDefault="0093277B" w:rsidP="000B66BC">
            <w:pPr>
              <w:spacing w:after="240"/>
              <w:jc w:val="both"/>
              <w:rPr>
                <w:rFonts w:ascii="Times New Roman" w:hAnsi="Times New Roman"/>
                <w:b/>
                <w:color w:val="auto"/>
                <w:sz w:val="24"/>
                <w:szCs w:val="24"/>
              </w:rPr>
            </w:pPr>
            <w:r>
              <w:rPr>
                <w:rFonts w:ascii="Times New Roman" w:hAnsi="Times New Roman"/>
                <w:b/>
                <w:color w:val="auto"/>
                <w:sz w:val="24"/>
              </w:rPr>
              <w:t>(–)</w:t>
            </w:r>
            <w:r>
              <w:rPr>
                <w:rFonts w:ascii="Times New Roman" w:hAnsi="Times New Roman"/>
                <w:b/>
                <w:i/>
                <w:iCs/>
                <w:color w:val="auto"/>
                <w:sz w:val="24"/>
              </w:rPr>
              <w:t xml:space="preserve"> IPS</w:t>
            </w:r>
            <w:r>
              <w:rPr>
                <w:rFonts w:ascii="Times New Roman" w:hAnsi="Times New Roman"/>
                <w:b/>
                <w:color w:val="auto"/>
                <w:sz w:val="24"/>
              </w:rPr>
              <w:t xml:space="preserve"> riska darījumi, kas ir atbrīvoti saskaņā ar REGULAS (ES) Nr. 575/2013 429.a panta 1. punkta </w:t>
            </w:r>
            <w:proofErr w:type="spellStart"/>
            <w:r>
              <w:rPr>
                <w:rFonts w:ascii="Times New Roman" w:hAnsi="Times New Roman"/>
                <w:b/>
                <w:color w:val="auto"/>
                <w:sz w:val="24"/>
              </w:rPr>
              <w:t>ca</w:t>
            </w:r>
            <w:proofErr w:type="spellEnd"/>
            <w:r>
              <w:rPr>
                <w:rFonts w:ascii="Times New Roman" w:hAnsi="Times New Roman"/>
                <w:b/>
                <w:color w:val="auto"/>
                <w:sz w:val="24"/>
              </w:rPr>
              <w:t>) apakšpunktu</w:t>
            </w:r>
          </w:p>
          <w:p w14:paraId="6CE8CCB5" w14:textId="724F065F" w:rsidR="00D31203" w:rsidRDefault="0093277B" w:rsidP="00D31203">
            <w:pPr>
              <w:pStyle w:val="BodyText1"/>
              <w:spacing w:after="240" w:line="240" w:lineRule="auto"/>
              <w:rPr>
                <w:rFonts w:ascii="Times New Roman" w:hAnsi="Times New Roman"/>
                <w:bCs/>
                <w:sz w:val="24"/>
                <w:szCs w:val="24"/>
              </w:rPr>
            </w:pPr>
            <w:r>
              <w:rPr>
                <w:rFonts w:ascii="Times New Roman" w:hAnsi="Times New Roman"/>
                <w:sz w:val="24"/>
              </w:rPr>
              <w:t xml:space="preserve">REGULAS (ES) Nr. 575/2013 429.a panta 1. punkta </w:t>
            </w:r>
            <w:proofErr w:type="spellStart"/>
            <w:r>
              <w:rPr>
                <w:rFonts w:ascii="Times New Roman" w:hAnsi="Times New Roman"/>
                <w:sz w:val="24"/>
              </w:rPr>
              <w:t>ca</w:t>
            </w:r>
            <w:proofErr w:type="spellEnd"/>
            <w:r>
              <w:rPr>
                <w:rFonts w:ascii="Times New Roman" w:hAnsi="Times New Roman"/>
                <w:sz w:val="24"/>
              </w:rPr>
              <w:t xml:space="preserve">) apakšpunkts. Riska darījumi, uz kuriem var attiecināt Regulas (ES) Nr. 575/2013 113. panta 7. punktā un 114. pantā noteikto procedūru, ja ir izpildīti visi Regulas (ES) Nr. 575/2013 429.a panta 1. punkta </w:t>
            </w:r>
            <w:proofErr w:type="spellStart"/>
            <w:r>
              <w:rPr>
                <w:rFonts w:ascii="Times New Roman" w:hAnsi="Times New Roman"/>
                <w:sz w:val="24"/>
              </w:rPr>
              <w:t>ca</w:t>
            </w:r>
            <w:proofErr w:type="spellEnd"/>
            <w:r>
              <w:rPr>
                <w:rFonts w:ascii="Times New Roman" w:hAnsi="Times New Roman"/>
                <w:sz w:val="24"/>
              </w:rPr>
              <w:t xml:space="preserve">) apakšpunktā izklāstītie nosacījumi. </w:t>
            </w:r>
          </w:p>
          <w:p w14:paraId="679257E0" w14:textId="1D0F3ECC" w:rsidR="0093277B" w:rsidRPr="000B66BC" w:rsidRDefault="00B96F9D" w:rsidP="00D31203">
            <w:pPr>
              <w:pStyle w:val="BodyText1"/>
              <w:spacing w:after="240" w:line="240" w:lineRule="auto"/>
            </w:pPr>
            <w:r>
              <w:rPr>
                <w:rFonts w:ascii="Times New Roman" w:hAnsi="Times New Roman"/>
                <w:sz w:val="24"/>
              </w:rPr>
              <w:t>Norādīto summu iekļauj arī iepriekš norādītajās piemērojamajās šūnās, it kā netiktu piemērots izņēmums.</w:t>
            </w:r>
          </w:p>
        </w:tc>
      </w:tr>
      <w:tr w:rsidR="00EC6F1E" w:rsidRPr="00E75BB8" w14:paraId="1D8BFA67" w14:textId="77777777" w:rsidTr="008979D2">
        <w:trPr>
          <w:trHeight w:val="304"/>
        </w:trPr>
        <w:tc>
          <w:tcPr>
            <w:tcW w:w="1555" w:type="dxa"/>
            <w:gridSpan w:val="2"/>
            <w:tcBorders>
              <w:bottom w:val="single" w:sz="4" w:space="0" w:color="auto"/>
            </w:tcBorders>
            <w:vAlign w:val="center"/>
          </w:tcPr>
          <w:p w14:paraId="4496E47D" w14:textId="20CF4394" w:rsidR="00EC6F1E" w:rsidRPr="000B66BC" w:rsidRDefault="00EC6F1E" w:rsidP="000B66BC">
            <w:pPr>
              <w:pStyle w:val="BodyText1"/>
              <w:spacing w:after="240"/>
              <w:rPr>
                <w:rFonts w:ascii="Times New Roman" w:hAnsi="Times New Roman"/>
                <w:bCs/>
                <w:sz w:val="24"/>
                <w:szCs w:val="24"/>
                <w:highlight w:val="yellow"/>
              </w:rPr>
            </w:pPr>
            <w:r>
              <w:rPr>
                <w:rFonts w:ascii="Times New Roman" w:hAnsi="Times New Roman"/>
                <w:sz w:val="24"/>
              </w:rPr>
              <w:t>{0252;0010}</w:t>
            </w:r>
          </w:p>
        </w:tc>
        <w:tc>
          <w:tcPr>
            <w:tcW w:w="7566" w:type="dxa"/>
            <w:tcBorders>
              <w:bottom w:val="single" w:sz="4" w:space="0" w:color="auto"/>
            </w:tcBorders>
            <w:vAlign w:val="center"/>
          </w:tcPr>
          <w:p w14:paraId="6BC877C8"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 Izslēgtās garantēto riska pozīciju daļas, kas izriet no eksporta kredītiem </w:t>
            </w:r>
          </w:p>
          <w:p w14:paraId="43FFAEEA" w14:textId="5CB46AF0"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sz w:val="24"/>
              </w:rPr>
              <w:t>Regulas (ES) Nr. 575/2013 429.a panta 1. punkta f) apakšpunkts.</w:t>
            </w:r>
          </w:p>
          <w:p w14:paraId="0F2E3189" w14:textId="10775FEB" w:rsidR="00EC6F1E" w:rsidRPr="000B66BC" w:rsidRDefault="00EC6F1E" w:rsidP="000B66BC">
            <w:pPr>
              <w:pStyle w:val="BodyText1"/>
              <w:spacing w:after="240" w:line="240" w:lineRule="auto"/>
              <w:rPr>
                <w:rFonts w:ascii="Times New Roman" w:hAnsi="Times New Roman"/>
                <w:color w:val="auto"/>
                <w:sz w:val="24"/>
                <w:szCs w:val="24"/>
              </w:rPr>
            </w:pPr>
            <w:r>
              <w:rPr>
                <w:rFonts w:ascii="Times New Roman" w:hAnsi="Times New Roman"/>
                <w:sz w:val="24"/>
              </w:rPr>
              <w:t>Garantētās riska darījumu daļas, kas izriet no eksporta kredītiem un ko var izslēgt, ja ir izpildīti Regulas (ES) Nr. 575/2013 429.a panta 1. punkta f) apakšpunkta nosacījumi.</w:t>
            </w:r>
          </w:p>
          <w:p w14:paraId="4BBC9AD0" w14:textId="70F280C7"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Norādīto summu iekļauj arī iepriekš norādītajās piemērojamajās šūnās, it kā netiktu piemērots izņēmums.</w:t>
            </w:r>
          </w:p>
        </w:tc>
      </w:tr>
      <w:tr w:rsidR="00EC6F1E" w:rsidRPr="00E75BB8" w14:paraId="7AD87F00" w14:textId="77777777" w:rsidTr="008979D2">
        <w:trPr>
          <w:trHeight w:val="304"/>
        </w:trPr>
        <w:tc>
          <w:tcPr>
            <w:tcW w:w="1555" w:type="dxa"/>
            <w:gridSpan w:val="2"/>
            <w:tcBorders>
              <w:bottom w:val="single" w:sz="4" w:space="0" w:color="auto"/>
            </w:tcBorders>
            <w:vAlign w:val="center"/>
          </w:tcPr>
          <w:p w14:paraId="1E11F6EB" w14:textId="77777777" w:rsidR="00EC6F1E" w:rsidRPr="000B66BC" w:rsidRDefault="00EC6F1E" w:rsidP="000B66BC">
            <w:pPr>
              <w:pStyle w:val="BodyText1"/>
              <w:spacing w:after="240"/>
              <w:rPr>
                <w:rFonts w:ascii="Times New Roman" w:hAnsi="Times New Roman"/>
                <w:bCs/>
                <w:sz w:val="24"/>
                <w:szCs w:val="24"/>
              </w:rPr>
            </w:pPr>
          </w:p>
          <w:p w14:paraId="323A635F" w14:textId="34C01BC7" w:rsidR="00EC6F1E" w:rsidRPr="000B66BC" w:rsidRDefault="00EC6F1E" w:rsidP="000B66BC">
            <w:pPr>
              <w:pStyle w:val="BodyText1"/>
              <w:spacing w:after="240"/>
              <w:rPr>
                <w:rFonts w:ascii="Times New Roman" w:hAnsi="Times New Roman"/>
                <w:bCs/>
                <w:sz w:val="24"/>
                <w:szCs w:val="24"/>
                <w:highlight w:val="yellow"/>
              </w:rPr>
            </w:pPr>
            <w:r>
              <w:rPr>
                <w:rFonts w:ascii="Times New Roman" w:hAnsi="Times New Roman"/>
                <w:sz w:val="24"/>
              </w:rPr>
              <w:t>{0253;0010}</w:t>
            </w:r>
          </w:p>
        </w:tc>
        <w:tc>
          <w:tcPr>
            <w:tcW w:w="7566" w:type="dxa"/>
            <w:tcBorders>
              <w:bottom w:val="single" w:sz="4" w:space="0" w:color="auto"/>
            </w:tcBorders>
            <w:vAlign w:val="center"/>
          </w:tcPr>
          <w:p w14:paraId="050310BA"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Izslēgtais nodrošinājuma pārpalikums, kas noguldīts pie trīspusējiem aģentiem</w:t>
            </w:r>
          </w:p>
          <w:p w14:paraId="209C179F" w14:textId="4EA76EF8"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sz w:val="24"/>
              </w:rPr>
              <w:t>Regulas (ES) Nr. 575/2013 429.a panta 1. punkta k) apakšpunkts.</w:t>
            </w:r>
          </w:p>
          <w:p w14:paraId="64B746C7" w14:textId="3E23835E" w:rsidR="00EC6F1E" w:rsidRPr="000B66BC" w:rsidRDefault="00EC6F1E" w:rsidP="000B66BC">
            <w:pPr>
              <w:pStyle w:val="BodyText1"/>
              <w:spacing w:after="240" w:line="240" w:lineRule="auto"/>
              <w:rPr>
                <w:rFonts w:ascii="Times New Roman" w:hAnsi="Times New Roman"/>
                <w:bCs/>
                <w:sz w:val="24"/>
                <w:szCs w:val="24"/>
              </w:rPr>
            </w:pPr>
            <w:r>
              <w:rPr>
                <w:rFonts w:ascii="Times New Roman" w:hAnsi="Times New Roman"/>
                <w:sz w:val="24"/>
              </w:rPr>
              <w:t>Papildu nodrošinājums, kas noguldīts pie trīspusējiem aģentiem un nav aizdots, un ko var izslēgt saskaņā ar 429.a panta 1. punkta k) apakšpunktu.</w:t>
            </w:r>
          </w:p>
          <w:p w14:paraId="7D107153" w14:textId="22433B1F"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Norādīto summu iekļauj arī iepriekš norādītajās piemērojamajās šūnās, it kā netiktu piemērots izņēmums.</w:t>
            </w:r>
          </w:p>
        </w:tc>
      </w:tr>
      <w:tr w:rsidR="00EC6F1E" w:rsidRPr="00E75BB8" w14:paraId="54166E91" w14:textId="77777777" w:rsidTr="008979D2">
        <w:trPr>
          <w:trHeight w:val="304"/>
        </w:trPr>
        <w:tc>
          <w:tcPr>
            <w:tcW w:w="1555" w:type="dxa"/>
            <w:gridSpan w:val="2"/>
            <w:tcBorders>
              <w:bottom w:val="single" w:sz="4" w:space="0" w:color="auto"/>
            </w:tcBorders>
            <w:vAlign w:val="center"/>
          </w:tcPr>
          <w:p w14:paraId="5E8D1AF5" w14:textId="6DF49680" w:rsidR="00EC6F1E" w:rsidRPr="000B66BC" w:rsidRDefault="00EC6F1E" w:rsidP="000B66BC">
            <w:pPr>
              <w:pStyle w:val="BodyText1"/>
              <w:spacing w:after="240"/>
              <w:rPr>
                <w:rFonts w:ascii="Times New Roman" w:hAnsi="Times New Roman"/>
                <w:bCs/>
                <w:sz w:val="24"/>
                <w:szCs w:val="24"/>
              </w:rPr>
            </w:pPr>
            <w:r>
              <w:rPr>
                <w:rFonts w:ascii="Times New Roman" w:hAnsi="Times New Roman"/>
                <w:sz w:val="24"/>
              </w:rPr>
              <w:t>{0254;0010}</w:t>
            </w:r>
          </w:p>
        </w:tc>
        <w:tc>
          <w:tcPr>
            <w:tcW w:w="7566" w:type="dxa"/>
            <w:tcBorders>
              <w:bottom w:val="single" w:sz="4" w:space="0" w:color="auto"/>
            </w:tcBorders>
            <w:vAlign w:val="center"/>
          </w:tcPr>
          <w:p w14:paraId="665021DC"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 Izslēgtie </w:t>
            </w:r>
            <w:proofErr w:type="spellStart"/>
            <w:r>
              <w:rPr>
                <w:rFonts w:ascii="Times New Roman" w:hAnsi="Times New Roman"/>
                <w:b/>
                <w:color w:val="auto"/>
                <w:sz w:val="24"/>
              </w:rPr>
              <w:t>vērtspapīrotie</w:t>
            </w:r>
            <w:proofErr w:type="spellEnd"/>
            <w:r>
              <w:rPr>
                <w:rFonts w:ascii="Times New Roman" w:hAnsi="Times New Roman"/>
                <w:b/>
                <w:color w:val="auto"/>
                <w:sz w:val="24"/>
              </w:rPr>
              <w:t xml:space="preserve"> riska darījumi, kas ir uzskatāmi par būtisku riska pārvešanu </w:t>
            </w:r>
          </w:p>
          <w:p w14:paraId="69C77F33" w14:textId="08590D91"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sz w:val="24"/>
              </w:rPr>
              <w:t>Regulas (ES) Nr. 575/2013 429.a panta 1. punkta m) apakšpunkts.</w:t>
            </w:r>
          </w:p>
          <w:p w14:paraId="17E7D3CF" w14:textId="77777777" w:rsidR="00EC6F1E" w:rsidRPr="000B66BC" w:rsidRDefault="00EC6F1E" w:rsidP="000B66BC">
            <w:pPr>
              <w:pStyle w:val="BodyText1"/>
              <w:spacing w:after="240" w:line="240" w:lineRule="auto"/>
              <w:rPr>
                <w:rFonts w:ascii="Times New Roman" w:hAnsi="Times New Roman"/>
                <w:bCs/>
                <w:sz w:val="24"/>
                <w:szCs w:val="24"/>
              </w:rPr>
            </w:pPr>
            <w:proofErr w:type="spellStart"/>
            <w:r>
              <w:rPr>
                <w:rFonts w:ascii="Times New Roman" w:hAnsi="Times New Roman"/>
                <w:sz w:val="24"/>
              </w:rPr>
              <w:t>Vērtspapīrotie</w:t>
            </w:r>
            <w:proofErr w:type="spellEnd"/>
            <w:r>
              <w:rPr>
                <w:rFonts w:ascii="Times New Roman" w:hAnsi="Times New Roman"/>
                <w:sz w:val="24"/>
              </w:rPr>
              <w:t xml:space="preserve"> riska darījumi no tradicionālās </w:t>
            </w:r>
            <w:proofErr w:type="spellStart"/>
            <w:r>
              <w:rPr>
                <w:rFonts w:ascii="Times New Roman" w:hAnsi="Times New Roman"/>
                <w:sz w:val="24"/>
              </w:rPr>
              <w:t>vērtspapīrošanas</w:t>
            </w:r>
            <w:proofErr w:type="spellEnd"/>
            <w:r>
              <w:rPr>
                <w:rFonts w:ascii="Times New Roman" w:hAnsi="Times New Roman"/>
                <w:sz w:val="24"/>
              </w:rPr>
              <w:t>, kas atbilst 244. panta 2. punktā paredzētajiem būtiska riska pārvešanas nosacījumiem.</w:t>
            </w:r>
          </w:p>
          <w:p w14:paraId="56BAB74A" w14:textId="083FCC3D"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Norādīto summu iekļauj arī iepriekš norādītajās piemērojamajās šūnās, it kā netiktu piemērots izņēmums.</w:t>
            </w:r>
          </w:p>
        </w:tc>
      </w:tr>
      <w:tr w:rsidR="00EC6F1E" w:rsidRPr="00E75BB8" w14:paraId="7069054A" w14:textId="77777777" w:rsidTr="008979D2">
        <w:trPr>
          <w:trHeight w:val="304"/>
        </w:trPr>
        <w:tc>
          <w:tcPr>
            <w:tcW w:w="1555" w:type="dxa"/>
            <w:gridSpan w:val="2"/>
            <w:tcBorders>
              <w:bottom w:val="single" w:sz="4" w:space="0" w:color="auto"/>
            </w:tcBorders>
            <w:vAlign w:val="center"/>
          </w:tcPr>
          <w:p w14:paraId="7B9CA4F6" w14:textId="3C428DC7" w:rsidR="00EC6F1E" w:rsidRPr="000B66BC" w:rsidRDefault="00EC6F1E" w:rsidP="000B66BC">
            <w:pPr>
              <w:pStyle w:val="BodyText1"/>
              <w:spacing w:after="240"/>
              <w:rPr>
                <w:rFonts w:ascii="Times New Roman" w:hAnsi="Times New Roman"/>
                <w:bCs/>
                <w:sz w:val="24"/>
                <w:szCs w:val="24"/>
              </w:rPr>
            </w:pPr>
            <w:r>
              <w:rPr>
                <w:rFonts w:ascii="Times New Roman" w:hAnsi="Times New Roman"/>
                <w:sz w:val="24"/>
              </w:rPr>
              <w:t>{0255;0010}</w:t>
            </w:r>
          </w:p>
        </w:tc>
        <w:tc>
          <w:tcPr>
            <w:tcW w:w="7566" w:type="dxa"/>
            <w:tcBorders>
              <w:bottom w:val="single" w:sz="4" w:space="0" w:color="auto"/>
            </w:tcBorders>
            <w:vAlign w:val="center"/>
          </w:tcPr>
          <w:p w14:paraId="43716DF9" w14:textId="5295AF58" w:rsidR="00EC6F1E" w:rsidRPr="000B66BC" w:rsidRDefault="00EC6F1E" w:rsidP="000B66BC">
            <w:pPr>
              <w:pStyle w:val="BodyText1"/>
              <w:spacing w:after="240" w:line="240" w:lineRule="auto"/>
              <w:rPr>
                <w:rFonts w:ascii="Times New Roman" w:hAnsi="Times New Roman"/>
                <w:color w:val="auto"/>
                <w:sz w:val="24"/>
                <w:szCs w:val="24"/>
              </w:rPr>
            </w:pPr>
            <w:r>
              <w:rPr>
                <w:rFonts w:ascii="Times New Roman" w:hAnsi="Times New Roman"/>
                <w:b/>
                <w:color w:val="auto"/>
                <w:sz w:val="24"/>
              </w:rPr>
              <w:t>(–) Riska darījumi ar centrālo banku, kas ir atbrīvoti saskaņā ar KPR 429.a panta 1. punkta n) apakšpunktu</w:t>
            </w:r>
          </w:p>
          <w:p w14:paraId="737C879F" w14:textId="5B6A359D" w:rsidR="00EC6F1E" w:rsidRPr="000B66BC" w:rsidRDefault="00DE2482" w:rsidP="000B66BC">
            <w:pPr>
              <w:pStyle w:val="BodyText1"/>
              <w:spacing w:after="240" w:line="240" w:lineRule="auto"/>
              <w:rPr>
                <w:rFonts w:ascii="Times New Roman" w:hAnsi="Times New Roman"/>
                <w:bCs/>
                <w:sz w:val="24"/>
                <w:szCs w:val="24"/>
              </w:rPr>
            </w:pPr>
            <w:r>
              <w:rPr>
                <w:rFonts w:ascii="Times New Roman" w:hAnsi="Times New Roman"/>
                <w:sz w:val="24"/>
              </w:rPr>
              <w:t>Regulas (ES) Nr. 575/2013 429.a panta 1. punkta n) apakšpunkts.</w:t>
            </w:r>
          </w:p>
          <w:p w14:paraId="300950AF" w14:textId="128AE793"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lastRenderedPageBreak/>
              <w:t>Norādīto summu iekļauj arī iepriekš norādītajās piemērojamajās šūnās, it kā netiktu piemērots izņēmums.</w:t>
            </w:r>
          </w:p>
        </w:tc>
      </w:tr>
      <w:tr w:rsidR="00EC6F1E" w:rsidRPr="00E75BB8" w14:paraId="54E04016" w14:textId="77777777" w:rsidTr="008979D2">
        <w:trPr>
          <w:trHeight w:val="304"/>
        </w:trPr>
        <w:tc>
          <w:tcPr>
            <w:tcW w:w="1555" w:type="dxa"/>
            <w:gridSpan w:val="2"/>
            <w:tcBorders>
              <w:bottom w:val="single" w:sz="4" w:space="0" w:color="auto"/>
            </w:tcBorders>
            <w:vAlign w:val="center"/>
          </w:tcPr>
          <w:p w14:paraId="07FCDF2C" w14:textId="69109565" w:rsidR="00EC6F1E" w:rsidRPr="000B66BC" w:rsidRDefault="00EC6F1E" w:rsidP="000B66BC">
            <w:pPr>
              <w:pStyle w:val="BodyText1"/>
              <w:spacing w:after="240"/>
              <w:rPr>
                <w:rFonts w:ascii="Times New Roman" w:hAnsi="Times New Roman"/>
                <w:bCs/>
                <w:sz w:val="24"/>
                <w:szCs w:val="24"/>
              </w:rPr>
            </w:pPr>
            <w:r>
              <w:rPr>
                <w:rFonts w:ascii="Times New Roman" w:hAnsi="Times New Roman"/>
                <w:sz w:val="24"/>
              </w:rPr>
              <w:lastRenderedPageBreak/>
              <w:t>{0256;0010}</w:t>
            </w:r>
          </w:p>
        </w:tc>
        <w:tc>
          <w:tcPr>
            <w:tcW w:w="7566" w:type="dxa"/>
            <w:tcBorders>
              <w:bottom w:val="single" w:sz="4" w:space="0" w:color="auto"/>
            </w:tcBorders>
            <w:vAlign w:val="center"/>
          </w:tcPr>
          <w:p w14:paraId="0B0A550F" w14:textId="14979BE2"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bCs/>
                <w:sz w:val="24"/>
              </w:rPr>
              <w:t>(–) Izslēgtie CVD/iestāžu banku tipa papildpakalpojumi saskaņā ar Regulas (ES) Nr. 575/2013 429.a panta 1. punkta o) apakšpunktu</w:t>
            </w:r>
          </w:p>
          <w:p w14:paraId="5D17ABE6" w14:textId="1743EA65" w:rsidR="00EC6F1E" w:rsidRPr="000B66BC" w:rsidRDefault="00F82681" w:rsidP="000B66BC">
            <w:pPr>
              <w:pStyle w:val="BodyText1"/>
              <w:spacing w:after="240" w:line="240" w:lineRule="auto"/>
              <w:rPr>
                <w:rFonts w:ascii="Times New Roman" w:hAnsi="Times New Roman"/>
                <w:bCs/>
                <w:sz w:val="24"/>
                <w:szCs w:val="24"/>
              </w:rPr>
            </w:pPr>
            <w:r>
              <w:rPr>
                <w:rFonts w:ascii="Times New Roman" w:hAnsi="Times New Roman"/>
                <w:sz w:val="24"/>
              </w:rPr>
              <w:t>Regulas (ES) Nr. 575/2013 429.a panta 1. punkta o) apakšpunkts.</w:t>
            </w:r>
          </w:p>
          <w:p w14:paraId="2A59DF82" w14:textId="75E2BAB5"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Norādīto summu iekļauj arī iepriekš norādītajās piemērojamajās šūnās, it kā netiktu piemērots izņēmums.</w:t>
            </w:r>
          </w:p>
        </w:tc>
      </w:tr>
      <w:tr w:rsidR="00EC6F1E" w:rsidRPr="00E75BB8" w14:paraId="796C7E67" w14:textId="77777777" w:rsidTr="008979D2">
        <w:trPr>
          <w:trHeight w:val="304"/>
        </w:trPr>
        <w:tc>
          <w:tcPr>
            <w:tcW w:w="1555" w:type="dxa"/>
            <w:gridSpan w:val="2"/>
            <w:tcBorders>
              <w:bottom w:val="single" w:sz="4" w:space="0" w:color="auto"/>
            </w:tcBorders>
            <w:vAlign w:val="center"/>
          </w:tcPr>
          <w:p w14:paraId="3A077F3C" w14:textId="5BBF63E4" w:rsidR="00EC6F1E" w:rsidRPr="000B66BC" w:rsidRDefault="0001312C" w:rsidP="000B66BC">
            <w:pPr>
              <w:pStyle w:val="BodyText1"/>
              <w:spacing w:after="240"/>
              <w:rPr>
                <w:rFonts w:ascii="Times New Roman" w:hAnsi="Times New Roman"/>
                <w:bCs/>
                <w:sz w:val="24"/>
                <w:szCs w:val="24"/>
              </w:rPr>
            </w:pPr>
            <w:r>
              <w:rPr>
                <w:rFonts w:ascii="Times New Roman" w:hAnsi="Times New Roman"/>
                <w:sz w:val="24"/>
              </w:rPr>
              <w:t>{0257;0010}</w:t>
            </w:r>
          </w:p>
        </w:tc>
        <w:tc>
          <w:tcPr>
            <w:tcW w:w="7566" w:type="dxa"/>
            <w:tcBorders>
              <w:bottom w:val="single" w:sz="4" w:space="0" w:color="auto"/>
            </w:tcBorders>
            <w:vAlign w:val="center"/>
          </w:tcPr>
          <w:p w14:paraId="4CA8E235" w14:textId="7031D048"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Izslēgtie norīkoto iestāžu banku tipa papildpakalpojumi saskaņā ar KPR 429.a panta 1. punkta p) apakšpunktu</w:t>
            </w:r>
          </w:p>
          <w:p w14:paraId="290DEB1D" w14:textId="2383EE7F" w:rsidR="00F82681" w:rsidRPr="000B66BC" w:rsidRDefault="00B329C6" w:rsidP="000B66BC">
            <w:pPr>
              <w:pStyle w:val="BodyText1"/>
              <w:spacing w:after="240" w:line="240" w:lineRule="auto"/>
              <w:rPr>
                <w:rFonts w:ascii="Times New Roman" w:hAnsi="Times New Roman"/>
                <w:color w:val="auto"/>
                <w:sz w:val="24"/>
                <w:szCs w:val="24"/>
              </w:rPr>
            </w:pPr>
            <w:r>
              <w:rPr>
                <w:rFonts w:ascii="Times New Roman" w:hAnsi="Times New Roman"/>
                <w:sz w:val="24"/>
              </w:rPr>
              <w:t>Regulas (ES) Nr. 575/2013 429.a panta 1. punkta p) apakšpunkts.</w:t>
            </w:r>
          </w:p>
          <w:p w14:paraId="302E407B" w14:textId="2195E524"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Norādīto summu iekļauj arī iepriekš norādītajās piemērojamajās šūnās, it kā netiktu piemērots izņēmums.</w:t>
            </w:r>
          </w:p>
        </w:tc>
      </w:tr>
      <w:tr w:rsidR="00CB48CC" w:rsidRPr="00E75BB8" w14:paraId="759771C3" w14:textId="77777777" w:rsidTr="008979D2">
        <w:trPr>
          <w:trHeight w:val="304"/>
        </w:trPr>
        <w:tc>
          <w:tcPr>
            <w:tcW w:w="1555" w:type="dxa"/>
            <w:gridSpan w:val="2"/>
            <w:tcBorders>
              <w:bottom w:val="single" w:sz="4" w:space="0" w:color="auto"/>
            </w:tcBorders>
          </w:tcPr>
          <w:p w14:paraId="523A3FCF" w14:textId="6DF532E0"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{0260;0010}</w:t>
            </w:r>
          </w:p>
        </w:tc>
        <w:tc>
          <w:tcPr>
            <w:tcW w:w="7566" w:type="dxa"/>
            <w:tcBorders>
              <w:bottom w:val="single" w:sz="4" w:space="0" w:color="auto"/>
            </w:tcBorders>
          </w:tcPr>
          <w:p w14:paraId="1FAED4EC" w14:textId="176154C2"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Riska darījumi, kas ir atbrīvoti saskaņā ar KPR 429.a panta 1. punkta j) apakšpunktu</w:t>
            </w:r>
          </w:p>
          <w:p w14:paraId="218BC8E5" w14:textId="0EE868DE" w:rsidR="00CB48CC" w:rsidRPr="000B66BC" w:rsidRDefault="00B329C6" w:rsidP="000B66BC">
            <w:pPr>
              <w:pStyle w:val="BodyText1"/>
              <w:spacing w:after="240" w:line="240" w:lineRule="auto"/>
              <w:rPr>
                <w:rFonts w:ascii="Times New Roman" w:hAnsi="Times New Roman"/>
                <w:bCs/>
                <w:sz w:val="24"/>
                <w:szCs w:val="24"/>
              </w:rPr>
            </w:pPr>
            <w:r>
              <w:rPr>
                <w:rFonts w:ascii="Times New Roman" w:hAnsi="Times New Roman"/>
                <w:sz w:val="24"/>
              </w:rPr>
              <w:t>Regulas (ES) Nr. 575/2013 429.a panta 1. punkta j) apakšpunkts.</w:t>
            </w:r>
          </w:p>
          <w:p w14:paraId="3A1ACCB0" w14:textId="050BCAC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Riska darījumi, kas atbrīvoti saskaņā ar Regulas (ES) Nr. 575/2013 429.a panta 1. punkta j) apakšpunktu, ja ir izpildīti tajā minētie nosacījumi.</w:t>
            </w:r>
          </w:p>
          <w:p w14:paraId="639566D9" w14:textId="70FB6A4B"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Norādīto summu iekļauj arī iepriekš norādītajās piemērojamajās šūnās, it kā netiktu piemērots izņēmums.</w:t>
            </w:r>
          </w:p>
        </w:tc>
      </w:tr>
      <w:tr w:rsidR="00CB48CC" w:rsidRPr="00E75BB8" w14:paraId="4D2ECF18" w14:textId="77777777" w:rsidTr="008979D2">
        <w:trPr>
          <w:trHeight w:val="304"/>
        </w:trPr>
        <w:tc>
          <w:tcPr>
            <w:tcW w:w="1555" w:type="dxa"/>
            <w:gridSpan w:val="2"/>
            <w:tcBorders>
              <w:bottom w:val="single" w:sz="4" w:space="0" w:color="auto"/>
            </w:tcBorders>
            <w:vAlign w:val="center"/>
          </w:tcPr>
          <w:p w14:paraId="4DF44B5D" w14:textId="2AAC5E7C"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t>{0261;0010}</w:t>
            </w:r>
          </w:p>
        </w:tc>
        <w:tc>
          <w:tcPr>
            <w:tcW w:w="7566" w:type="dxa"/>
            <w:tcBorders>
              <w:bottom w:val="single" w:sz="4" w:space="0" w:color="auto"/>
            </w:tcBorders>
            <w:vAlign w:val="center"/>
          </w:tcPr>
          <w:p w14:paraId="7117C87C" w14:textId="7829B627" w:rsidR="00743C1E" w:rsidRPr="000B66BC" w:rsidRDefault="009D46F6"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 xml:space="preserve"> </w:t>
            </w:r>
            <w:r>
              <w:rPr>
                <w:rFonts w:ascii="Times New Roman" w:hAnsi="Times New Roman"/>
                <w:b/>
                <w:color w:val="auto"/>
                <w:sz w:val="24"/>
              </w:rPr>
              <w:t>(−) Izslēgtie valsts attīstības kredītiestāžu riska darījumi – publiskā sektora ieguldījumi</w:t>
            </w:r>
          </w:p>
          <w:p w14:paraId="387343FE" w14:textId="306E8AEF" w:rsidR="00743C1E" w:rsidRPr="000B66BC" w:rsidRDefault="00993549" w:rsidP="000B66BC">
            <w:pPr>
              <w:pStyle w:val="BodyText1"/>
              <w:spacing w:after="240" w:line="240" w:lineRule="auto"/>
              <w:rPr>
                <w:rFonts w:ascii="Times New Roman" w:hAnsi="Times New Roman"/>
                <w:bCs/>
                <w:sz w:val="24"/>
                <w:szCs w:val="24"/>
              </w:rPr>
            </w:pPr>
            <w:r>
              <w:rPr>
                <w:rFonts w:ascii="Times New Roman" w:hAnsi="Times New Roman"/>
                <w:sz w:val="24"/>
              </w:rPr>
              <w:t>Regulas (ES) Nr. 575/2013 429.a panta 1. punkta d) apakšpunkts un 2. punkts</w:t>
            </w:r>
          </w:p>
          <w:p w14:paraId="740BFE27" w14:textId="1BD4C27A" w:rsidR="00743C1E" w:rsidRPr="000B66BC" w:rsidRDefault="00743C1E" w:rsidP="000B66BC">
            <w:pPr>
              <w:pStyle w:val="BodyText1"/>
              <w:spacing w:after="240" w:line="240" w:lineRule="auto"/>
              <w:rPr>
                <w:rFonts w:ascii="Times New Roman" w:hAnsi="Times New Roman"/>
                <w:color w:val="auto"/>
                <w:sz w:val="24"/>
                <w:szCs w:val="24"/>
              </w:rPr>
            </w:pPr>
            <w:r>
              <w:rPr>
                <w:rFonts w:ascii="Times New Roman" w:hAnsi="Times New Roman"/>
                <w:sz w:val="24"/>
              </w:rPr>
              <w:t>Riska darījumi, kas izriet no aktīviem, kuri veido prasījumus pret centrālajām valdībām, reģionālajām pašvaldībām, vietējām iestādēm vai publiskā sektora struktūrām saistībā ar publiskā sektora ieguldījumiem, un ko var izslēgt saskaņā ar Regulas (ES) Nr. 575/2013 429.a panta 1. punkta d) apakšpunktu.</w:t>
            </w:r>
          </w:p>
          <w:p w14:paraId="0B2209FE" w14:textId="4A72C105" w:rsidR="000F5958" w:rsidRPr="000B66BC" w:rsidRDefault="000F5958"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Ja prasījumu var uzskatīt arī par attīstību veicinošu aizdevumu saskaņā ar 429.a panta 3. punktu, to neuzrāda šajā šūnā, bet attiecīgi 0262.–0264. rindā.</w:t>
            </w:r>
          </w:p>
          <w:p w14:paraId="1F103E32" w14:textId="51AB418A"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Norādīto summu iekļauj arī iepriekš norādītajās piemērojamajās šūnās, it kā netiktu piemērots izņēmums.</w:t>
            </w:r>
          </w:p>
        </w:tc>
      </w:tr>
      <w:tr w:rsidR="00CB48CC" w:rsidRPr="00E75BB8" w14:paraId="53C01F29" w14:textId="77777777" w:rsidTr="008979D2">
        <w:trPr>
          <w:trHeight w:val="304"/>
        </w:trPr>
        <w:tc>
          <w:tcPr>
            <w:tcW w:w="1555" w:type="dxa"/>
            <w:gridSpan w:val="2"/>
            <w:tcBorders>
              <w:bottom w:val="single" w:sz="4" w:space="0" w:color="auto"/>
            </w:tcBorders>
            <w:vAlign w:val="center"/>
          </w:tcPr>
          <w:p w14:paraId="17CB97C6" w14:textId="5334142B"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t>{0262;0010}</w:t>
            </w:r>
          </w:p>
        </w:tc>
        <w:tc>
          <w:tcPr>
            <w:tcW w:w="7566" w:type="dxa"/>
            <w:tcBorders>
              <w:bottom w:val="single" w:sz="4" w:space="0" w:color="auto"/>
            </w:tcBorders>
            <w:vAlign w:val="center"/>
          </w:tcPr>
          <w:p w14:paraId="788A486A"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Izslēgtie valsts attīstības kredītiestāžu riska darījumi – attīstību veicinošie aizdevumi, ko piešķir valsts attīstības kredītiestādes</w:t>
            </w:r>
          </w:p>
          <w:p w14:paraId="30828A29" w14:textId="4C357904" w:rsidR="00743C1E" w:rsidRPr="000B66BC" w:rsidRDefault="00542529"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Regulas (ES) Nr. 575/2013 429.a panta 1. punkta d) apakšpunkts un 2. un 3. punkts</w:t>
            </w:r>
          </w:p>
          <w:p w14:paraId="672E00E2" w14:textId="08CD6F59"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Riska pozīcijas, kas izriet no attīstību veicinošiem aizdevumiem, tostarp pastarpinātajiem attīstību veicinošajiem aizdevumiem, kurus piešķīrusi valsts attīstības kredītiestāde un kurus var izslēgt saskaņā ar Regulas (ES) Nr. 575/2013 429.a panta 1. punkta d) apakšpunktu.</w:t>
            </w:r>
            <w:r>
              <w:rPr>
                <w:rFonts w:ascii="Times New Roman" w:hAnsi="Times New Roman"/>
                <w:color w:val="auto"/>
                <w:sz w:val="24"/>
              </w:rPr>
              <w:t xml:space="preserve"> </w:t>
            </w:r>
            <w:r>
              <w:rPr>
                <w:rFonts w:ascii="Times New Roman" w:hAnsi="Times New Roman"/>
                <w:sz w:val="24"/>
              </w:rPr>
              <w:t>Ņem vērā arī tādas iestādes struktūrvienības riska darījumus, kuru kompetentā iestāde uzskata par valsts attīstības kredītiestādi saskaņā ar Regulas (ES) Nr. 575/2013 429.a panta 2. punkta pēdējo daļu.</w:t>
            </w:r>
          </w:p>
          <w:p w14:paraId="64C77AD5" w14:textId="227981CE"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Norādīto summu iekļauj arī iepriekš norādītajās piemērojamajās šūnās, it kā netiktu piemērots izņēmums.</w:t>
            </w:r>
          </w:p>
        </w:tc>
      </w:tr>
      <w:tr w:rsidR="00CB48CC" w:rsidRPr="00E75BB8" w14:paraId="00B60DDD" w14:textId="77777777" w:rsidTr="008979D2">
        <w:trPr>
          <w:trHeight w:val="304"/>
        </w:trPr>
        <w:tc>
          <w:tcPr>
            <w:tcW w:w="1555" w:type="dxa"/>
            <w:gridSpan w:val="2"/>
            <w:tcBorders>
              <w:bottom w:val="single" w:sz="4" w:space="0" w:color="auto"/>
            </w:tcBorders>
            <w:vAlign w:val="center"/>
          </w:tcPr>
          <w:p w14:paraId="0C78434F" w14:textId="7703C49F"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lastRenderedPageBreak/>
              <w:t>{0263;0010}</w:t>
            </w:r>
          </w:p>
        </w:tc>
        <w:tc>
          <w:tcPr>
            <w:tcW w:w="7566" w:type="dxa"/>
            <w:tcBorders>
              <w:bottom w:val="single" w:sz="4" w:space="0" w:color="auto"/>
            </w:tcBorders>
            <w:vAlign w:val="center"/>
          </w:tcPr>
          <w:p w14:paraId="7CBAF840"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Izslēgtie valsts attīstības kredītiestāžu riska darījumi – attīstību veicinošie aizdevumi, ko piešķir dalībvalsts centrālās valdības, reģionālo pašvaldību vai vietējo pašpārvalžu tieši izveidota struktūra</w:t>
            </w:r>
          </w:p>
          <w:p w14:paraId="4B17F8AE" w14:textId="36E2BB1D" w:rsidR="009D46F6" w:rsidRPr="000B66BC" w:rsidRDefault="00C36AC0" w:rsidP="000B66BC">
            <w:pPr>
              <w:pStyle w:val="BodyText1"/>
              <w:spacing w:after="240" w:line="240" w:lineRule="auto"/>
              <w:rPr>
                <w:rFonts w:ascii="Times New Roman" w:hAnsi="Times New Roman"/>
                <w:bCs/>
                <w:sz w:val="24"/>
                <w:szCs w:val="24"/>
              </w:rPr>
            </w:pPr>
            <w:r>
              <w:rPr>
                <w:rFonts w:ascii="Times New Roman" w:hAnsi="Times New Roman"/>
                <w:sz w:val="24"/>
              </w:rPr>
              <w:t>Regulas (ES) Nr. 575/2013 429.a panta 1. punkta d) apakšpunkts un 2. un 3. punkts</w:t>
            </w:r>
          </w:p>
          <w:p w14:paraId="6FAF30DE" w14:textId="69B451A9" w:rsidR="00E849C2"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sz w:val="24"/>
              </w:rPr>
              <w:t>Riska pozīcijas, kas izriet no attīstību veicinošiem aizdevumiem, tostarp pastarpinātajiem attīstību veicinošajiem aizdevumiem, ko piešķīrusi struktūra, kuru tieši izveidojusi dalībvalsts centrālā valdība, reģionālās pašvaldības vai vietējās pašpārvaldes, un ko var izslēgt saskaņā ar 429.a panta 1. punkta d) apakšpunktu. Ņem vērā arī tādas iestādes struktūrvienības riska darījumus, kuru kompetentā iestāde uzskata par valsts attīstības kredītiestādi saskaņā ar KPR 429.a panta 2. punkta pēdējo daļu.</w:t>
            </w:r>
          </w:p>
          <w:p w14:paraId="5A3364FC" w14:textId="2A7576CE"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Norādīto summu iekļauj arī iepriekš norādītajās piemērojamajās šūnās, it kā netiktu piemērots izņēmums.</w:t>
            </w:r>
          </w:p>
        </w:tc>
      </w:tr>
      <w:tr w:rsidR="00CB48CC" w:rsidRPr="00E75BB8" w14:paraId="24911276" w14:textId="77777777" w:rsidTr="008979D2">
        <w:trPr>
          <w:trHeight w:val="304"/>
        </w:trPr>
        <w:tc>
          <w:tcPr>
            <w:tcW w:w="1555" w:type="dxa"/>
            <w:gridSpan w:val="2"/>
            <w:tcBorders>
              <w:bottom w:val="single" w:sz="4" w:space="0" w:color="auto"/>
            </w:tcBorders>
            <w:vAlign w:val="center"/>
          </w:tcPr>
          <w:p w14:paraId="633E837E" w14:textId="64229AC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t>{0264;0010}</w:t>
            </w:r>
          </w:p>
        </w:tc>
        <w:tc>
          <w:tcPr>
            <w:tcW w:w="7566" w:type="dxa"/>
            <w:tcBorders>
              <w:bottom w:val="single" w:sz="4" w:space="0" w:color="auto"/>
            </w:tcBorders>
            <w:vAlign w:val="center"/>
          </w:tcPr>
          <w:p w14:paraId="7047590E"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Izslēgtie valsts attīstības kredītiestāžu riska darījumi – attīstību veicinošie aizdevumi, ko piešķir dalībvalsts centrālās valdības, reģionālo pašvaldību vai vietējo pašpārvalžu izveidota struktūra ar starpniecības kredītiestādes starpniecību</w:t>
            </w:r>
          </w:p>
          <w:p w14:paraId="6754B207" w14:textId="33310FD8" w:rsidR="009D46F6" w:rsidRPr="000B66BC" w:rsidRDefault="00C36AC0" w:rsidP="000B66BC">
            <w:pPr>
              <w:pStyle w:val="BodyText1"/>
              <w:spacing w:after="240" w:line="240" w:lineRule="auto"/>
              <w:rPr>
                <w:rFonts w:ascii="Times New Roman" w:hAnsi="Times New Roman"/>
                <w:bCs/>
                <w:sz w:val="24"/>
                <w:szCs w:val="24"/>
              </w:rPr>
            </w:pPr>
            <w:r>
              <w:rPr>
                <w:rFonts w:ascii="Times New Roman" w:hAnsi="Times New Roman"/>
                <w:sz w:val="24"/>
              </w:rPr>
              <w:t>Regulas (ES) Nr. 575/2013 429.a panta 1. punkta d) apakšpunkts un 2. un 3. punkts</w:t>
            </w:r>
          </w:p>
          <w:p w14:paraId="77D97E64" w14:textId="0FCAF836" w:rsidR="00E849C2"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sz w:val="24"/>
              </w:rPr>
              <w:t>Riska pozīcijas, kas izriet no attīstību veicinošiem aizdevumiem, tostarp no pastarpinātajiem attīstību veicinošajiem aizdevumiem, ko piešķīrusi dalībvalsts centrālās valdības, reģionālo pašvaldību vai vietējo pašpārvalžu izveidota struktūra ar starpniecības kredītiestādes starpniecību, un ko var izslēgt saskaņā ar 429.a panta 1. punkta d) apakšpunktu. Ņem vērā arī tādas iestādes struktūrvienības riska darījumus, kuru kompetentā iestāde uzskata par valsts attīstības kredītiestādi saskaņā ar KPR 429.a panta 2. punkta pēdējo daļu.</w:t>
            </w:r>
          </w:p>
          <w:p w14:paraId="318709D6" w14:textId="775B94CC"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lastRenderedPageBreak/>
              <w:t>Norādīto summu iekļauj arī iepriekš norādītajās piemērojamajās šūnās, it kā netiktu piemērots izņēmums.</w:t>
            </w:r>
          </w:p>
        </w:tc>
      </w:tr>
      <w:tr w:rsidR="009D26A9" w:rsidRPr="00E75BB8" w14:paraId="6D70027E" w14:textId="77777777" w:rsidTr="008979D2">
        <w:trPr>
          <w:trHeight w:val="304"/>
        </w:trPr>
        <w:tc>
          <w:tcPr>
            <w:tcW w:w="1555" w:type="dxa"/>
            <w:gridSpan w:val="2"/>
            <w:tcBorders>
              <w:bottom w:val="single" w:sz="4" w:space="0" w:color="auto"/>
            </w:tcBorders>
            <w:vAlign w:val="center"/>
          </w:tcPr>
          <w:p w14:paraId="23AB3133" w14:textId="474ED6D5" w:rsidR="009D26A9" w:rsidRPr="000B66BC" w:rsidRDefault="009D26A9" w:rsidP="000B66BC">
            <w:pPr>
              <w:pStyle w:val="BodyText1"/>
              <w:spacing w:after="240"/>
              <w:rPr>
                <w:rFonts w:ascii="Times New Roman" w:hAnsi="Times New Roman"/>
                <w:bCs/>
                <w:sz w:val="24"/>
                <w:szCs w:val="24"/>
              </w:rPr>
            </w:pPr>
            <w:r>
              <w:rPr>
                <w:rFonts w:ascii="Times New Roman" w:hAnsi="Times New Roman"/>
                <w:sz w:val="24"/>
              </w:rPr>
              <w:lastRenderedPageBreak/>
              <w:t>{0910;0010}</w:t>
            </w:r>
          </w:p>
        </w:tc>
        <w:tc>
          <w:tcPr>
            <w:tcW w:w="7566" w:type="dxa"/>
            <w:tcBorders>
              <w:bottom w:val="single" w:sz="4" w:space="0" w:color="auto"/>
            </w:tcBorders>
            <w:vAlign w:val="center"/>
          </w:tcPr>
          <w:p w14:paraId="18FEA65B" w14:textId="77777777" w:rsidR="009D26A9" w:rsidRDefault="009D26A9"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 Izslēgtie riska darījumi ar akcionāriem saskaņā ar 429.a panta 1. punkta </w:t>
            </w:r>
            <w:proofErr w:type="spellStart"/>
            <w:r>
              <w:rPr>
                <w:rFonts w:ascii="Times New Roman" w:hAnsi="Times New Roman"/>
                <w:b/>
                <w:color w:val="auto"/>
                <w:sz w:val="24"/>
              </w:rPr>
              <w:t>da</w:t>
            </w:r>
            <w:proofErr w:type="spellEnd"/>
            <w:r>
              <w:rPr>
                <w:rFonts w:ascii="Times New Roman" w:hAnsi="Times New Roman"/>
                <w:b/>
                <w:color w:val="auto"/>
                <w:sz w:val="24"/>
              </w:rPr>
              <w:t>) apakšpunktu)</w:t>
            </w:r>
          </w:p>
          <w:p w14:paraId="55A02ADA" w14:textId="3694931B" w:rsidR="009D26A9" w:rsidRDefault="009D26A9" w:rsidP="000B66BC">
            <w:pPr>
              <w:pStyle w:val="BodyText1"/>
              <w:spacing w:after="240" w:line="240" w:lineRule="auto"/>
              <w:rPr>
                <w:rFonts w:ascii="Times New Roman" w:hAnsi="Times New Roman"/>
                <w:bCs/>
                <w:sz w:val="24"/>
                <w:szCs w:val="24"/>
              </w:rPr>
            </w:pPr>
            <w:r>
              <w:rPr>
                <w:rFonts w:ascii="Times New Roman" w:hAnsi="Times New Roman"/>
                <w:sz w:val="24"/>
              </w:rPr>
              <w:t xml:space="preserve">Regulas (ES) Nr. 575/2013 429.a panta 1. punkta </w:t>
            </w:r>
            <w:proofErr w:type="spellStart"/>
            <w:r>
              <w:rPr>
                <w:rFonts w:ascii="Times New Roman" w:hAnsi="Times New Roman"/>
                <w:sz w:val="24"/>
              </w:rPr>
              <w:t>da</w:t>
            </w:r>
            <w:proofErr w:type="spellEnd"/>
            <w:r>
              <w:rPr>
                <w:rFonts w:ascii="Times New Roman" w:hAnsi="Times New Roman"/>
                <w:sz w:val="24"/>
              </w:rPr>
              <w:t>) apakšpunkts</w:t>
            </w:r>
          </w:p>
          <w:p w14:paraId="0CBC407D" w14:textId="26679CAA" w:rsidR="00F62C28" w:rsidRDefault="001E5373" w:rsidP="000B66BC">
            <w:pPr>
              <w:pStyle w:val="BodyText1"/>
              <w:spacing w:after="240" w:line="240" w:lineRule="auto"/>
              <w:rPr>
                <w:rFonts w:ascii="Times New Roman" w:hAnsi="Times New Roman"/>
                <w:bCs/>
                <w:sz w:val="24"/>
                <w:szCs w:val="24"/>
              </w:rPr>
            </w:pPr>
            <w:r>
              <w:rPr>
                <w:rFonts w:ascii="Times New Roman" w:hAnsi="Times New Roman"/>
                <w:sz w:val="24"/>
              </w:rPr>
              <w:t xml:space="preserve">Iestādes riska darījumi ar akcionāriem, kas ir kredītiestādes, ja tie ir nodrošināti un ir izpildīti visi </w:t>
            </w:r>
            <w:proofErr w:type="spellStart"/>
            <w:r>
              <w:rPr>
                <w:rFonts w:ascii="Times New Roman" w:hAnsi="Times New Roman"/>
                <w:sz w:val="24"/>
              </w:rPr>
              <w:t>da</w:t>
            </w:r>
            <w:proofErr w:type="spellEnd"/>
            <w:r>
              <w:rPr>
                <w:rFonts w:ascii="Times New Roman" w:hAnsi="Times New Roman"/>
                <w:sz w:val="24"/>
              </w:rPr>
              <w:t xml:space="preserve">) apakšpunkta nosacījumi. </w:t>
            </w:r>
          </w:p>
          <w:p w14:paraId="798B3B54" w14:textId="3FA80E52" w:rsidR="00280AF8" w:rsidRPr="000B66BC" w:rsidRDefault="00280AF8" w:rsidP="000B66BC">
            <w:pPr>
              <w:pStyle w:val="BodyText1"/>
              <w:spacing w:after="240" w:line="240" w:lineRule="auto"/>
              <w:rPr>
                <w:rFonts w:ascii="Times New Roman" w:hAnsi="Times New Roman"/>
                <w:b/>
                <w:color w:val="auto"/>
                <w:sz w:val="24"/>
                <w:szCs w:val="24"/>
              </w:rPr>
            </w:pPr>
            <w:r>
              <w:rPr>
                <w:rFonts w:ascii="Times New Roman" w:hAnsi="Times New Roman"/>
                <w:sz w:val="24"/>
              </w:rPr>
              <w:t>Norādīto summu iekļauj arī iepriekš norādītajās piemērojamajās šūnās, it kā netiktu piemērots izņēmums.</w:t>
            </w:r>
          </w:p>
        </w:tc>
      </w:tr>
      <w:tr w:rsidR="00CB48CC" w:rsidRPr="00E75BB8" w14:paraId="337CD92B" w14:textId="77777777" w:rsidTr="008979D2">
        <w:trPr>
          <w:trHeight w:val="304"/>
        </w:trPr>
        <w:tc>
          <w:tcPr>
            <w:tcW w:w="1555" w:type="dxa"/>
            <w:gridSpan w:val="2"/>
            <w:tcBorders>
              <w:bottom w:val="single" w:sz="4" w:space="0" w:color="auto"/>
            </w:tcBorders>
            <w:vAlign w:val="center"/>
          </w:tcPr>
          <w:p w14:paraId="6C7E09CA" w14:textId="166BCBE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t>{0265;0010}</w:t>
            </w:r>
          </w:p>
        </w:tc>
        <w:tc>
          <w:tcPr>
            <w:tcW w:w="7566" w:type="dxa"/>
            <w:tcBorders>
              <w:bottom w:val="single" w:sz="4" w:space="0" w:color="auto"/>
            </w:tcBorders>
            <w:vAlign w:val="center"/>
          </w:tcPr>
          <w:p w14:paraId="3A4A6AD1"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Izslēgtie nevalstisko attīstības kredītiestāžu (vai struktūrvienību) pastarpinātie attīstību veicinošo aizdevumu riska darījumi – attīstību veicinošie aizdevumi, ko piešķir valsts attīstības kredītiestādes</w:t>
            </w:r>
          </w:p>
          <w:p w14:paraId="51F998E0" w14:textId="6FF1F6C1" w:rsidR="009D46F6" w:rsidRPr="000B66BC" w:rsidRDefault="0079137A" w:rsidP="000B66BC">
            <w:pPr>
              <w:pStyle w:val="BodyText1"/>
              <w:spacing w:after="240" w:line="240" w:lineRule="auto"/>
              <w:rPr>
                <w:rFonts w:ascii="Times New Roman" w:hAnsi="Times New Roman"/>
                <w:bCs/>
                <w:sz w:val="24"/>
                <w:szCs w:val="24"/>
              </w:rPr>
            </w:pPr>
            <w:r>
              <w:rPr>
                <w:rFonts w:ascii="Times New Roman" w:hAnsi="Times New Roman"/>
                <w:sz w:val="24"/>
              </w:rPr>
              <w:t>Regulas (ES) Nr. 575/2013 429.a panta 1. punkta e) apakšpunkts un 2. un 3. punkts</w:t>
            </w:r>
          </w:p>
          <w:p w14:paraId="6B9968E8" w14:textId="7DFDBBBB" w:rsidR="00743C1E"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 xml:space="preserve">To riska darījumu daļas, kas rodas no pastarpinātajiem attīstību veicinošajiem aizdevumiem citām kredītiestādēm, ja attīstību veicinošos aizdevumus ir piešķīrusi valsts attīstības kredītiestāde. </w:t>
            </w:r>
            <w:r>
              <w:rPr>
                <w:rFonts w:ascii="Times New Roman" w:hAnsi="Times New Roman"/>
                <w:sz w:val="24"/>
              </w:rPr>
              <w:t>Ņem vērā arī tādu iestādes struktūrvienību riska darījumu daļas, kuras kompetentā iestāde neuzskata par valsts attīstības kredītiestādi saskaņā ar KPR 429.a panta 2. punkta pēdējo daļu.</w:t>
            </w:r>
          </w:p>
          <w:p w14:paraId="1CF30E6B" w14:textId="322E3C84"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Norādīto summu iekļauj arī iepriekš norādītajās piemērojamajās šūnās, it kā netiktu piemērots izņēmums.</w:t>
            </w:r>
          </w:p>
        </w:tc>
      </w:tr>
      <w:tr w:rsidR="00CB48CC" w:rsidRPr="00E75BB8" w14:paraId="02D73868" w14:textId="77777777" w:rsidTr="008979D2">
        <w:trPr>
          <w:trHeight w:val="304"/>
        </w:trPr>
        <w:tc>
          <w:tcPr>
            <w:tcW w:w="1555" w:type="dxa"/>
            <w:gridSpan w:val="2"/>
            <w:tcBorders>
              <w:bottom w:val="single" w:sz="4" w:space="0" w:color="auto"/>
            </w:tcBorders>
            <w:vAlign w:val="center"/>
          </w:tcPr>
          <w:p w14:paraId="57A4063C" w14:textId="06DE7FF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t>{0266;0010}</w:t>
            </w:r>
          </w:p>
        </w:tc>
        <w:tc>
          <w:tcPr>
            <w:tcW w:w="7566" w:type="dxa"/>
            <w:tcBorders>
              <w:bottom w:val="single" w:sz="4" w:space="0" w:color="auto"/>
            </w:tcBorders>
            <w:vAlign w:val="center"/>
          </w:tcPr>
          <w:p w14:paraId="4A900DCE"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Izslēgtie nevalstisko attīstības kredītiestāžu (vai struktūrvienību) pastarpinātie attīstību veicinošo aizdevumu riska darījumi – attīstību veicinošie aizdevumi, ko piešķir dalībvalsts centrālās valdības, reģionālo pašvaldību vai vietējo pašpārvalžu tieši izveidota struktūra</w:t>
            </w:r>
          </w:p>
          <w:p w14:paraId="003BD5E4" w14:textId="30943184" w:rsidR="00743C1E" w:rsidRPr="000B66BC" w:rsidRDefault="00D03534" w:rsidP="000B66BC">
            <w:pPr>
              <w:pStyle w:val="BodyText1"/>
              <w:spacing w:after="240" w:line="240" w:lineRule="auto"/>
              <w:rPr>
                <w:rFonts w:ascii="Times New Roman" w:hAnsi="Times New Roman"/>
                <w:bCs/>
                <w:sz w:val="24"/>
                <w:szCs w:val="24"/>
              </w:rPr>
            </w:pPr>
            <w:r>
              <w:rPr>
                <w:rFonts w:ascii="Times New Roman" w:hAnsi="Times New Roman"/>
                <w:sz w:val="24"/>
              </w:rPr>
              <w:t>Regulas (ES) Nr. 575/2013 429.a panta 1. punkta e) apakšpunkts un 2. un 3. punkts</w:t>
            </w:r>
          </w:p>
          <w:p w14:paraId="128930FF" w14:textId="4A97FBF9" w:rsidR="00415D69" w:rsidRPr="000B66BC" w:rsidRDefault="00415D6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 xml:space="preserve">To riska darījumu daļas, kas rodas no pastarpinātajiem attīstību veicinošajiem aizdevumiem citām kredītiestādēm, ja attīstību veicinošos aizdevumus ir piešķīrusi dalībvalsts centrālās valdības, reģionālo pašvaldību vai vietējo pašpārvalžu tieši izveidota struktūra. </w:t>
            </w:r>
            <w:r>
              <w:rPr>
                <w:rFonts w:ascii="Times New Roman" w:hAnsi="Times New Roman"/>
                <w:sz w:val="24"/>
              </w:rPr>
              <w:t>Ņem vērā arī tādu iestādes struktūrvienību riska darījumu daļas, kuras kompetentā iestāde neuzskata par valsts attīstības kredītiestādi saskaņā ar KPR 429.a panta 2. punkta pēdējo daļu.</w:t>
            </w:r>
          </w:p>
          <w:p w14:paraId="4DD1C09D" w14:textId="67B346B4"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Norādīto summu iekļauj arī iepriekš norādītajās piemērojamajās šūnās, it kā netiktu piemērots izņēmums.</w:t>
            </w:r>
          </w:p>
        </w:tc>
      </w:tr>
      <w:tr w:rsidR="00CB48CC" w:rsidRPr="00E75BB8" w14:paraId="78DBF21B" w14:textId="77777777" w:rsidTr="008979D2">
        <w:trPr>
          <w:trHeight w:val="304"/>
        </w:trPr>
        <w:tc>
          <w:tcPr>
            <w:tcW w:w="1555" w:type="dxa"/>
            <w:gridSpan w:val="2"/>
            <w:tcBorders>
              <w:bottom w:val="single" w:sz="4" w:space="0" w:color="auto"/>
            </w:tcBorders>
            <w:vAlign w:val="center"/>
          </w:tcPr>
          <w:p w14:paraId="159B9A71" w14:textId="29511FD8" w:rsidR="00946138"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lastRenderedPageBreak/>
              <w:t>{0267;0010}</w:t>
            </w:r>
          </w:p>
        </w:tc>
        <w:tc>
          <w:tcPr>
            <w:tcW w:w="7566" w:type="dxa"/>
            <w:tcBorders>
              <w:bottom w:val="single" w:sz="4" w:space="0" w:color="auto"/>
            </w:tcBorders>
            <w:vAlign w:val="center"/>
          </w:tcPr>
          <w:p w14:paraId="0D809E6C"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Izslēgtie nevalstisko attīstības kredītiestāžu (vai struktūrvienību) pastarpinātie attīstību veicinošo aizdevumu riska darījumi – attīstību veicinošie aizdevumi, ko piešķir dalībvalsts centrālās valdības, reģionālo pašvaldību vai vietējo pašpārvalžu izveidota struktūra ar starpniecības kredītiestādes starpniecību</w:t>
            </w:r>
          </w:p>
          <w:p w14:paraId="30EAE7BC" w14:textId="403C61E8" w:rsidR="009D46F6" w:rsidRPr="000B66BC" w:rsidRDefault="00D03534" w:rsidP="000B66BC">
            <w:pPr>
              <w:pStyle w:val="BodyText1"/>
              <w:spacing w:after="240" w:line="240" w:lineRule="auto"/>
              <w:rPr>
                <w:rFonts w:ascii="Times New Roman" w:hAnsi="Times New Roman"/>
                <w:bCs/>
                <w:sz w:val="24"/>
                <w:szCs w:val="24"/>
              </w:rPr>
            </w:pPr>
            <w:r>
              <w:rPr>
                <w:rFonts w:ascii="Times New Roman" w:hAnsi="Times New Roman"/>
                <w:sz w:val="24"/>
              </w:rPr>
              <w:t>Regulas (ES) Nr. 575/2013 429.a panta 1. punkta e) apakšpunkts un 2. un 3. punkts</w:t>
            </w:r>
          </w:p>
          <w:p w14:paraId="3DE31CDF" w14:textId="7B1B92C9" w:rsidR="00743C1E" w:rsidRPr="000B66BC" w:rsidRDefault="00415D6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 xml:space="preserve">To riska darījumu daļas, kas rodas no pastarpinātajiem attīstību veicinošajiem aizdevumiem citām kredītiestādēm, ja attīstību veicinošos aizdevumus ir piešķīrusi dalībvalsts centrālās valdības, reģionālo pašvaldību vai vietējo pašpārvalžu izveidota struktūra ar starpniecības kredītiestādes starpniecību. </w:t>
            </w:r>
            <w:r>
              <w:rPr>
                <w:rFonts w:ascii="Times New Roman" w:hAnsi="Times New Roman"/>
                <w:sz w:val="24"/>
              </w:rPr>
              <w:t>Ņem vērā arī tādu iestādes struktūrvienību riska darījumu daļas, kuras kompetentā iestāde neuzskata par valsts attīstības kredītiestādi saskaņā ar KPR 429.a panta 2. punkta pēdējo daļu.</w:t>
            </w:r>
          </w:p>
          <w:p w14:paraId="53C99EBF" w14:textId="67514C6D"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Norādīto summu iekļauj arī iepriekš norādītajās piemērojamajās šūnās, it kā netiktu piemērots izņēmums.</w:t>
            </w:r>
          </w:p>
        </w:tc>
      </w:tr>
      <w:tr w:rsidR="001F5E87" w:rsidRPr="00E75BB8" w14:paraId="61EC7F94" w14:textId="77777777" w:rsidTr="008979D2">
        <w:trPr>
          <w:trHeight w:val="304"/>
        </w:trPr>
        <w:tc>
          <w:tcPr>
            <w:tcW w:w="1555" w:type="dxa"/>
            <w:gridSpan w:val="2"/>
            <w:tcBorders>
              <w:bottom w:val="single" w:sz="4" w:space="0" w:color="auto"/>
            </w:tcBorders>
          </w:tcPr>
          <w:p w14:paraId="04D68E82" w14:textId="38E814D6" w:rsidR="001F5E87" w:rsidRPr="000B66BC" w:rsidRDefault="00A81E17" w:rsidP="000B66BC">
            <w:pPr>
              <w:pStyle w:val="BodyText1"/>
              <w:spacing w:after="240"/>
              <w:rPr>
                <w:rFonts w:ascii="Times New Roman" w:hAnsi="Times New Roman"/>
                <w:bCs/>
                <w:sz w:val="24"/>
                <w:szCs w:val="24"/>
              </w:rPr>
            </w:pPr>
            <w:r>
              <w:rPr>
                <w:rFonts w:ascii="Times New Roman" w:hAnsi="Times New Roman"/>
                <w:sz w:val="24"/>
              </w:rPr>
              <w:t>{0268;0010}</w:t>
            </w:r>
          </w:p>
        </w:tc>
        <w:tc>
          <w:tcPr>
            <w:tcW w:w="7566" w:type="dxa"/>
            <w:tcBorders>
              <w:bottom w:val="single" w:sz="4" w:space="0" w:color="auto"/>
            </w:tcBorders>
          </w:tcPr>
          <w:p w14:paraId="41E224EF" w14:textId="297E8B69" w:rsidR="001F5E87" w:rsidRDefault="00D01FB9" w:rsidP="000B66BC">
            <w:pPr>
              <w:pStyle w:val="BodyText1"/>
              <w:spacing w:after="240" w:line="240" w:lineRule="auto"/>
              <w:rPr>
                <w:rFonts w:ascii="Times New Roman" w:hAnsi="Times New Roman"/>
                <w:b/>
                <w:bCs/>
                <w:sz w:val="24"/>
                <w:szCs w:val="24"/>
              </w:rPr>
            </w:pPr>
            <w:r>
              <w:rPr>
                <w:rFonts w:ascii="Times New Roman" w:hAnsi="Times New Roman"/>
                <w:b/>
                <w:sz w:val="24"/>
              </w:rPr>
              <w:t>(-) Riska darījumi, kas ir atskaitīti saskaņā ar KPR 429.a panta 1. punkta q) apakšpunktu</w:t>
            </w:r>
          </w:p>
          <w:p w14:paraId="435D6AA0" w14:textId="53149545" w:rsidR="00515841" w:rsidRPr="008B5EF0" w:rsidRDefault="00515841" w:rsidP="000B66BC">
            <w:pPr>
              <w:pStyle w:val="BodyText1"/>
              <w:spacing w:after="240" w:line="240" w:lineRule="auto"/>
              <w:rPr>
                <w:rFonts w:ascii="Times New Roman" w:hAnsi="Times New Roman"/>
                <w:sz w:val="24"/>
                <w:szCs w:val="24"/>
              </w:rPr>
            </w:pPr>
            <w:r>
              <w:rPr>
                <w:rFonts w:ascii="Times New Roman" w:hAnsi="Times New Roman"/>
                <w:sz w:val="24"/>
              </w:rPr>
              <w:t xml:space="preserve">429.a panta 1. punkta q) apakšpunkts </w:t>
            </w:r>
          </w:p>
          <w:p w14:paraId="692A1C06" w14:textId="6C394410" w:rsidR="007264E7" w:rsidRDefault="00B145BB" w:rsidP="000B66BC">
            <w:pPr>
              <w:pStyle w:val="BodyText1"/>
              <w:spacing w:after="240" w:line="240" w:lineRule="auto"/>
              <w:rPr>
                <w:rFonts w:ascii="Times New Roman" w:hAnsi="Times New Roman"/>
                <w:color w:val="auto"/>
                <w:sz w:val="24"/>
                <w:szCs w:val="24"/>
              </w:rPr>
            </w:pPr>
            <w:r>
              <w:rPr>
                <w:rFonts w:ascii="Times New Roman" w:hAnsi="Times New Roman"/>
                <w:sz w:val="24"/>
              </w:rPr>
              <w:t>Riska darījumi, kuriem piemēro Regulas (ES) Nr. 575/2013 72.e panta 5. punkta pirmajā daļā noteikto procedūru.</w:t>
            </w:r>
          </w:p>
          <w:p w14:paraId="3625C467" w14:textId="194C53D5" w:rsidR="00227BD1" w:rsidRPr="000B66BC" w:rsidRDefault="00227BD1" w:rsidP="000B66BC">
            <w:pPr>
              <w:pStyle w:val="BodyText1"/>
              <w:spacing w:after="240" w:line="240" w:lineRule="auto"/>
              <w:rPr>
                <w:rFonts w:ascii="Times New Roman" w:hAnsi="Times New Roman"/>
                <w:b/>
                <w:bCs/>
                <w:sz w:val="24"/>
                <w:szCs w:val="24"/>
              </w:rPr>
            </w:pPr>
            <w:r>
              <w:rPr>
                <w:rFonts w:ascii="Times New Roman" w:hAnsi="Times New Roman"/>
                <w:sz w:val="24"/>
              </w:rPr>
              <w:t>Norādīto summu iekļauj arī iepriekš norādītajās piemērojamajās šūnās, it kā netiktu piemērots izņēmums.</w:t>
            </w:r>
          </w:p>
        </w:tc>
      </w:tr>
      <w:tr w:rsidR="008979D2" w:rsidRPr="002A3F7D" w14:paraId="02A38F46" w14:textId="77777777" w:rsidTr="008B2DDF">
        <w:trPr>
          <w:trHeight w:val="304"/>
        </w:trPr>
        <w:tc>
          <w:tcPr>
            <w:tcW w:w="1531" w:type="dxa"/>
            <w:tcBorders>
              <w:top w:val="single" w:sz="4" w:space="0" w:color="auto"/>
              <w:left w:val="single" w:sz="4" w:space="0" w:color="auto"/>
              <w:bottom w:val="single" w:sz="4" w:space="0" w:color="auto"/>
              <w:right w:val="single" w:sz="4" w:space="0" w:color="auto"/>
            </w:tcBorders>
          </w:tcPr>
          <w:p w14:paraId="3A17A7AD" w14:textId="7906D106" w:rsidR="008979D2" w:rsidRPr="000B66BC" w:rsidRDefault="008979D2" w:rsidP="008B2DDF">
            <w:pPr>
              <w:pStyle w:val="BodyText1"/>
              <w:spacing w:after="240"/>
              <w:rPr>
                <w:rFonts w:ascii="Times New Roman" w:hAnsi="Times New Roman"/>
                <w:bCs/>
                <w:sz w:val="24"/>
                <w:szCs w:val="24"/>
              </w:rPr>
            </w:pPr>
            <w:r>
              <w:rPr>
                <w:rFonts w:ascii="Times New Roman" w:hAnsi="Times New Roman"/>
                <w:sz w:val="24"/>
              </w:rPr>
              <w:t>{0269;0010}</w:t>
            </w:r>
          </w:p>
        </w:tc>
        <w:tc>
          <w:tcPr>
            <w:tcW w:w="7590" w:type="dxa"/>
            <w:gridSpan w:val="2"/>
            <w:tcBorders>
              <w:top w:val="single" w:sz="4" w:space="0" w:color="auto"/>
              <w:left w:val="single" w:sz="4" w:space="0" w:color="auto"/>
              <w:bottom w:val="single" w:sz="4" w:space="0" w:color="auto"/>
              <w:right w:val="single" w:sz="4" w:space="0" w:color="auto"/>
            </w:tcBorders>
            <w:vAlign w:val="center"/>
          </w:tcPr>
          <w:p w14:paraId="38885990" w14:textId="77777777" w:rsidR="008979D2" w:rsidRPr="002A3F7D" w:rsidRDefault="008979D2" w:rsidP="008B2DDF">
            <w:pPr>
              <w:pStyle w:val="BodyText1"/>
              <w:spacing w:after="240" w:line="240" w:lineRule="auto"/>
              <w:rPr>
                <w:rFonts w:ascii="Times New Roman" w:hAnsi="Times New Roman"/>
                <w:b/>
                <w:color w:val="auto"/>
                <w:sz w:val="24"/>
                <w:szCs w:val="24"/>
              </w:rPr>
            </w:pPr>
            <w:r>
              <w:rPr>
                <w:rFonts w:ascii="Times New Roman" w:hAnsi="Times New Roman"/>
                <w:b/>
                <w:color w:val="auto"/>
                <w:sz w:val="24"/>
              </w:rPr>
              <w:t>Papildu sviras rādītāja riska darījuma vērtība saskaņā ar KPR 3. pantu</w:t>
            </w:r>
          </w:p>
          <w:p w14:paraId="6CB5E131" w14:textId="77777777" w:rsidR="008979D2" w:rsidRDefault="008979D2" w:rsidP="008B2DDF">
            <w:pPr>
              <w:pStyle w:val="BodyText1"/>
              <w:spacing w:after="240" w:line="240" w:lineRule="auto"/>
              <w:rPr>
                <w:rFonts w:ascii="Times New Roman" w:hAnsi="Times New Roman"/>
                <w:color w:val="auto"/>
                <w:sz w:val="24"/>
                <w:szCs w:val="24"/>
              </w:rPr>
            </w:pPr>
            <w:r>
              <w:rPr>
                <w:rFonts w:ascii="Times New Roman" w:hAnsi="Times New Roman"/>
                <w:color w:val="auto"/>
                <w:sz w:val="24"/>
              </w:rPr>
              <w:t>Regulas (ES) Nr. 575/2013 3. pants.</w:t>
            </w:r>
          </w:p>
          <w:p w14:paraId="61E0A840" w14:textId="4E58CC03" w:rsidR="008979D2" w:rsidRPr="002A3F7D" w:rsidRDefault="008979D2" w:rsidP="008B2DDF">
            <w:pPr>
              <w:pStyle w:val="BodyText1"/>
              <w:spacing w:after="240" w:line="240" w:lineRule="auto"/>
              <w:rPr>
                <w:rFonts w:ascii="Times New Roman" w:hAnsi="Times New Roman"/>
                <w:color w:val="auto"/>
                <w:sz w:val="24"/>
                <w:szCs w:val="24"/>
              </w:rPr>
            </w:pPr>
            <w:r>
              <w:rPr>
                <w:rFonts w:ascii="Times New Roman" w:hAnsi="Times New Roman"/>
                <w:color w:val="auto"/>
                <w:sz w:val="24"/>
              </w:rPr>
              <w:t>Ir jāuzrada papildu sviras rādītāja riska darījuma vērtība. Tajā iekļauj tikai papildu summas.</w:t>
            </w:r>
          </w:p>
        </w:tc>
      </w:tr>
      <w:tr w:rsidR="00CB48CC" w:rsidRPr="00E75BB8" w14:paraId="39D281E6" w14:textId="77777777" w:rsidTr="008979D2">
        <w:trPr>
          <w:trHeight w:val="304"/>
        </w:trPr>
        <w:tc>
          <w:tcPr>
            <w:tcW w:w="1555" w:type="dxa"/>
            <w:gridSpan w:val="2"/>
            <w:tcBorders>
              <w:bottom w:val="single" w:sz="4" w:space="0" w:color="auto"/>
            </w:tcBorders>
          </w:tcPr>
          <w:p w14:paraId="28E3E527" w14:textId="64B2DB2E"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{0270;0010}</w:t>
            </w:r>
          </w:p>
          <w:p w14:paraId="49DAE002"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CD09A92" w14:textId="77777777" w:rsidR="00CB48CC" w:rsidRPr="000B66BC" w:rsidRDefault="00CB48CC" w:rsidP="000B66BC">
            <w:pPr>
              <w:pStyle w:val="BodyText1"/>
              <w:spacing w:after="240" w:line="240" w:lineRule="auto"/>
              <w:rPr>
                <w:rFonts w:ascii="Times New Roman" w:hAnsi="Times New Roman"/>
                <w:sz w:val="24"/>
                <w:szCs w:val="24"/>
              </w:rPr>
            </w:pPr>
            <w:r>
              <w:rPr>
                <w:rFonts w:ascii="Times New Roman" w:hAnsi="Times New Roman"/>
                <w:b/>
                <w:sz w:val="24"/>
              </w:rPr>
              <w:t>(-) Atskaitītā aktīvu summa – 1. līmeņa kapitāls – pilnībā ieviestā definīcija</w:t>
            </w:r>
          </w:p>
          <w:p w14:paraId="7786B29A" w14:textId="6BF51AB0" w:rsidR="00CB48CC" w:rsidRPr="000B66BC" w:rsidRDefault="00542529" w:rsidP="000B66BC">
            <w:pPr>
              <w:pStyle w:val="BodyText1"/>
              <w:spacing w:after="240" w:line="240" w:lineRule="auto"/>
              <w:rPr>
                <w:rFonts w:ascii="Times New Roman" w:hAnsi="Times New Roman"/>
                <w:sz w:val="24"/>
                <w:szCs w:val="24"/>
              </w:rPr>
            </w:pPr>
            <w:r>
              <w:rPr>
                <w:rFonts w:ascii="Times New Roman" w:hAnsi="Times New Roman"/>
                <w:sz w:val="24"/>
              </w:rPr>
              <w:t>Regulas (ES) Nr. 575/2013 429.a panta 1. punkta b) apakšpunkts un 499. panta 1. punkta a) apakšpunkts</w:t>
            </w:r>
          </w:p>
          <w:p w14:paraId="675D8B7D"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Tajā iekļauj visas korekcijas, kas vērstas uz aktīva vērtību un kas ir paredzētas:</w:t>
            </w:r>
          </w:p>
          <w:p w14:paraId="0ABD1D78" w14:textId="350DBBF6"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rPr>
                <w:rFonts w:ascii="Times New Roman" w:hAnsi="Times New Roman"/>
                <w:sz w:val="24"/>
              </w:rPr>
              <w:tab/>
              <w:t xml:space="preserve">Regulas (ES) Nr. 575/2013 32. līdz 35. pants, vai </w:t>
            </w:r>
          </w:p>
          <w:p w14:paraId="14203D05" w14:textId="6AF0A71A"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rPr>
                <w:rFonts w:ascii="Times New Roman" w:hAnsi="Times New Roman"/>
                <w:sz w:val="24"/>
              </w:rPr>
              <w:tab/>
              <w:t>Regulas (ES) Nr. 575/2013 36. līdz 47. pants, vai</w:t>
            </w:r>
          </w:p>
          <w:p w14:paraId="33D193AD" w14:textId="2D478F60"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lastRenderedPageBreak/>
              <w:t>-</w:t>
            </w:r>
            <w:r>
              <w:rPr>
                <w:rFonts w:ascii="Times New Roman" w:hAnsi="Times New Roman"/>
                <w:sz w:val="24"/>
              </w:rPr>
              <w:tab/>
              <w:t>Regulas (ES) Nr. 575/2013 56. līdz 60. pants,</w:t>
            </w:r>
          </w:p>
          <w:p w14:paraId="0A1B29C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izvēloties attiecīgo.</w:t>
            </w:r>
          </w:p>
          <w:p w14:paraId="75E8D9BE" w14:textId="0C22040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Iestādes ņem vērā Regulas (ES) Nr. 575/2013 48., 49. un 79. pantā minētos izņēmumus, alternatīvas un prasību nepiemērošanu šādiem atskaitījumiem, neņemot vērā Regulas (ES) Nr. 575/2013 desmitās daļas I sadaļas 1., 2. un 4. nodaļā noteikto atkāpi. Lai novērstu divkāršu uzskaiti, iestādes neziņo par korekcijām, kas jau piemērotas saskaņā ar Regulas (ES) Nr. 575/2013 111. pantu, aprēķinot riska darījumu vērtību {0010;0010} līdz {0269;0010}. rindai, kā arī neziņo par korekcijām, ar kurām neatskaita konkrēta aktīva vērtību.</w:t>
            </w:r>
          </w:p>
          <w:p w14:paraId="36ECE9CF" w14:textId="32731BE5"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Tā kā šīs summas jau ir atskaitītas no kapitāla mēra, tās samazina sviras rādītāja riska darījuma vērtību un tās norāda kā negatīvu skaitli.</w:t>
            </w:r>
          </w:p>
        </w:tc>
      </w:tr>
      <w:tr w:rsidR="00CB48CC" w:rsidRPr="00E75BB8" w14:paraId="70428859" w14:textId="77777777" w:rsidTr="008979D2">
        <w:trPr>
          <w:trHeight w:val="304"/>
        </w:trPr>
        <w:tc>
          <w:tcPr>
            <w:tcW w:w="1555" w:type="dxa"/>
            <w:gridSpan w:val="2"/>
            <w:tcBorders>
              <w:bottom w:val="single" w:sz="4" w:space="0" w:color="auto"/>
            </w:tcBorders>
          </w:tcPr>
          <w:p w14:paraId="5BCE2B05" w14:textId="02607C2D"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{0280;0010}</w:t>
            </w:r>
          </w:p>
          <w:p w14:paraId="0F555030"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56F1EE18" w14:textId="44020D72" w:rsidR="00CB48CC" w:rsidRPr="000B66BC" w:rsidRDefault="003164FD" w:rsidP="000B66BC">
            <w:pPr>
              <w:pStyle w:val="BodyText1"/>
              <w:spacing w:after="240" w:line="240" w:lineRule="auto"/>
              <w:rPr>
                <w:rFonts w:ascii="Times New Roman" w:hAnsi="Times New Roman"/>
                <w:bCs/>
                <w:sz w:val="24"/>
                <w:szCs w:val="24"/>
              </w:rPr>
            </w:pPr>
            <w:r>
              <w:rPr>
                <w:rFonts w:ascii="Times New Roman" w:hAnsi="Times New Roman"/>
                <w:b/>
                <w:sz w:val="24"/>
              </w:rPr>
              <w:t>(-) Atskaitītā aktīvu summa – 1. līmeņa kapitāls – pārejas definīcija</w:t>
            </w:r>
          </w:p>
          <w:p w14:paraId="552CF68D" w14:textId="77F955BA" w:rsidR="00CB48CC" w:rsidRPr="000B66BC" w:rsidRDefault="006F5F1F" w:rsidP="000B66BC">
            <w:pPr>
              <w:pStyle w:val="BodyText1"/>
              <w:spacing w:after="240" w:line="240" w:lineRule="auto"/>
              <w:rPr>
                <w:rFonts w:ascii="Times New Roman" w:hAnsi="Times New Roman"/>
                <w:bCs/>
                <w:sz w:val="24"/>
                <w:szCs w:val="24"/>
              </w:rPr>
            </w:pPr>
            <w:r>
              <w:rPr>
                <w:rFonts w:ascii="Times New Roman" w:hAnsi="Times New Roman"/>
                <w:color w:val="auto"/>
                <w:sz w:val="24"/>
              </w:rPr>
              <w:t>Regulas (ES) Nr. 575/2013 429.a panta 1. punkta b) apakšpunkts un 499. panta 1. punkta a) apakšpunkts</w:t>
            </w:r>
          </w:p>
          <w:p w14:paraId="1C7AD929"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Tajā iekļauj visas korekcijas, ar ko koriģē aktīva vērtību un kas ir paredzētas:</w:t>
            </w:r>
          </w:p>
          <w:p w14:paraId="2FE9C127" w14:textId="335AB7DB"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rPr>
                <w:rFonts w:ascii="Times New Roman" w:hAnsi="Times New Roman"/>
                <w:sz w:val="24"/>
              </w:rPr>
              <w:tab/>
              <w:t xml:space="preserve">Regulas (ES) Nr. 575/2013 32. līdz 35. pants, vai </w:t>
            </w:r>
          </w:p>
          <w:p w14:paraId="35A3C50B" w14:textId="3A4C2CFE"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rPr>
                <w:rFonts w:ascii="Times New Roman" w:hAnsi="Times New Roman"/>
                <w:sz w:val="24"/>
              </w:rPr>
              <w:tab/>
              <w:t xml:space="preserve">Regulas (ES) Nr. 575/2013 36. līdz 47. pants, vai </w:t>
            </w:r>
          </w:p>
          <w:p w14:paraId="66CB0299" w14:textId="1766DD59"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rPr>
                <w:rFonts w:ascii="Times New Roman" w:hAnsi="Times New Roman"/>
                <w:sz w:val="24"/>
              </w:rPr>
              <w:tab/>
              <w:t>Regulas (ES) Nr. 575/2013 56. līdz 60. pants,</w:t>
            </w:r>
          </w:p>
          <w:p w14:paraId="152F8BFD"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izvēloties attiecīgo.</w:t>
            </w:r>
          </w:p>
          <w:p w14:paraId="730A3940" w14:textId="24896934" w:rsidR="00D9327B"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Iestādes ņem vērā Regulas (ES) Nr. 575/2013 48., 49. un 79. pantā minētos izņēmumus, alternatīvas un prasību nepiemērošanu šādiem atskaitījumiem, papildus ņemot vērā Regulas (ES) Nr. 575/2013 desmitās daļas I sadaļas 1., 2. un 4. nodaļā noteiktās atkāpes. Lai novērstu divkāršu uzskaiti, iestādes neziņo par korekcijām, kas jau piemērotas saskaņā ar Regulas (ES) Nr. 575/2013 111. pantu, aprēķinot riska darījumu vērtību {0010;0010} līdz {0269;0010}. rindai, kā arī neziņo par korekcijām, ar kurām neatskaita konkrēta aktīva vērtību.</w:t>
            </w:r>
          </w:p>
          <w:p w14:paraId="33460AF9"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Tā kā šīs summas jau ir atskaitītas no kapitāla mēra, tās samazina sviras rādītāja riska darījuma vērtību un tās norāda kā negatīvu skaitli.</w:t>
            </w:r>
          </w:p>
          <w:p w14:paraId="5A75B235" w14:textId="399DE8C6" w:rsidR="00CB48CC" w:rsidRPr="000B66BC" w:rsidRDefault="00CB48CC" w:rsidP="000B66BC">
            <w:pPr>
              <w:pStyle w:val="BodyText1"/>
              <w:spacing w:after="240" w:line="240" w:lineRule="auto"/>
              <w:rPr>
                <w:rFonts w:ascii="Times New Roman" w:hAnsi="Times New Roman"/>
                <w:b/>
                <w:bCs/>
                <w:sz w:val="24"/>
                <w:szCs w:val="24"/>
              </w:rPr>
            </w:pPr>
          </w:p>
        </w:tc>
      </w:tr>
      <w:tr w:rsidR="00CB48CC" w:rsidRPr="00E75BB8" w14:paraId="2854FA96" w14:textId="77777777" w:rsidTr="008979D2">
        <w:trPr>
          <w:trHeight w:val="304"/>
        </w:trPr>
        <w:tc>
          <w:tcPr>
            <w:tcW w:w="1555" w:type="dxa"/>
            <w:gridSpan w:val="2"/>
            <w:tcBorders>
              <w:bottom w:val="single" w:sz="4" w:space="0" w:color="auto"/>
            </w:tcBorders>
          </w:tcPr>
          <w:p w14:paraId="4375AA27" w14:textId="5FEC7397"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{0290;0010}</w:t>
            </w:r>
          </w:p>
          <w:p w14:paraId="140D82B2"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55BA90C" w14:textId="6C419506"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Kopējās riska darījumu vērtības mērs saskaņā ar galīgo pirmā līmeņa kapitāla definīciju</w:t>
            </w:r>
          </w:p>
          <w:p w14:paraId="18A90C99" w14:textId="79F7D615" w:rsidR="00CB48CC" w:rsidRPr="000B66BC" w:rsidRDefault="0026270F" w:rsidP="000B66BC">
            <w:pPr>
              <w:pStyle w:val="BodyText1"/>
              <w:spacing w:after="240" w:line="240" w:lineRule="auto"/>
              <w:rPr>
                <w:rFonts w:ascii="Times New Roman" w:hAnsi="Times New Roman"/>
                <w:b/>
                <w:bCs/>
                <w:sz w:val="24"/>
                <w:szCs w:val="24"/>
              </w:rPr>
            </w:pPr>
            <w:r>
              <w:rPr>
                <w:rFonts w:ascii="Times New Roman" w:hAnsi="Times New Roman"/>
                <w:sz w:val="24"/>
              </w:rPr>
              <w:t>Iestādes uzrāda summu, ko veido visas rindas no 0010. līdz 0269. un 0270. rinda.</w:t>
            </w:r>
          </w:p>
        </w:tc>
      </w:tr>
      <w:tr w:rsidR="00CB48CC" w:rsidRPr="00E75BB8" w14:paraId="16865D6C" w14:textId="77777777" w:rsidTr="008979D2">
        <w:trPr>
          <w:trHeight w:val="304"/>
        </w:trPr>
        <w:tc>
          <w:tcPr>
            <w:tcW w:w="1555" w:type="dxa"/>
            <w:gridSpan w:val="2"/>
            <w:tcBorders>
              <w:bottom w:val="single" w:sz="4" w:space="0" w:color="auto"/>
            </w:tcBorders>
          </w:tcPr>
          <w:p w14:paraId="5F1E1E63" w14:textId="6C4A4D91"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{0300;0010}</w:t>
            </w:r>
          </w:p>
          <w:p w14:paraId="2180AA43"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62C2DC4" w14:textId="132D1D7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Kopējās riska darījumu vērtības mērs saskaņā ar pirmā līmeņa kapitāla pārejas definīciju</w:t>
            </w:r>
          </w:p>
          <w:p w14:paraId="247E260C" w14:textId="3BD2777D"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 xml:space="preserve">Iestādes uzrāda summu, ko veido visas rindas no 0010. līdz 0269. un 0280. rinda. </w:t>
            </w:r>
          </w:p>
        </w:tc>
      </w:tr>
      <w:tr w:rsidR="00CB48CC" w:rsidRPr="00E75BB8" w14:paraId="25B9F129" w14:textId="77777777" w:rsidTr="008979D2">
        <w:trPr>
          <w:trHeight w:val="304"/>
        </w:trPr>
        <w:tc>
          <w:tcPr>
            <w:tcW w:w="1555" w:type="dxa"/>
            <w:gridSpan w:val="2"/>
            <w:shd w:val="pct25" w:color="auto" w:fill="auto"/>
          </w:tcPr>
          <w:p w14:paraId="069EB129" w14:textId="740388FD" w:rsidR="00CB48CC" w:rsidRPr="000B66BC" w:rsidRDefault="00CB48CC" w:rsidP="000B66BC">
            <w:pPr>
              <w:pStyle w:val="BodyText1"/>
              <w:spacing w:after="240"/>
              <w:rPr>
                <w:rFonts w:ascii="Times New Roman" w:hAnsi="Times New Roman"/>
                <w:b/>
                <w:bCs/>
                <w:sz w:val="24"/>
                <w:szCs w:val="24"/>
              </w:rPr>
            </w:pPr>
            <w:r>
              <w:rPr>
                <w:rFonts w:ascii="Times New Roman" w:hAnsi="Times New Roman"/>
                <w:b/>
                <w:sz w:val="24"/>
              </w:rPr>
              <w:t>Rinda un sleja</w:t>
            </w:r>
          </w:p>
        </w:tc>
        <w:tc>
          <w:tcPr>
            <w:tcW w:w="7566" w:type="dxa"/>
            <w:shd w:val="pct25" w:color="auto" w:fill="auto"/>
          </w:tcPr>
          <w:p w14:paraId="10FF1AF5"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Kapitāls </w:t>
            </w:r>
          </w:p>
        </w:tc>
      </w:tr>
      <w:tr w:rsidR="00CB48CC" w:rsidRPr="00E75BB8" w14:paraId="448FE1D7" w14:textId="77777777" w:rsidTr="008979D2">
        <w:trPr>
          <w:trHeight w:val="304"/>
        </w:trPr>
        <w:tc>
          <w:tcPr>
            <w:tcW w:w="1555" w:type="dxa"/>
            <w:gridSpan w:val="2"/>
          </w:tcPr>
          <w:p w14:paraId="696588A9" w14:textId="3F9C3A82"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{0310;0010}</w:t>
            </w:r>
          </w:p>
          <w:p w14:paraId="7738A245"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2F0EFDF6" w14:textId="46AB3F1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Pirmā līmeņa kapitāls – pilnībā ieviestā definīcija</w:t>
            </w:r>
          </w:p>
          <w:p w14:paraId="6D31890D" w14:textId="143ECED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Regulas (ES) Nr. 575/2013 429. panta 3. punkta a) apakšpunkts un 499. panta 1. punkta a) apakšpunkts.</w:t>
            </w:r>
          </w:p>
          <w:p w14:paraId="49E3D5DA" w14:textId="0B6B733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Tā ir pirmā līmeņa kapitāla summa, kas aprēķināta saskaņā ar Regulas (ES) Nr. 575/2013 25. pantu, neņemot vērā Regulas (ES) Nr. 575/2013 desmitās daļas I sadaļas 1., 2. un 4. nodaļā noteikto atkāpi.</w:t>
            </w:r>
          </w:p>
        </w:tc>
      </w:tr>
      <w:tr w:rsidR="00CB48CC" w:rsidRPr="00E75BB8" w14:paraId="2B054486" w14:textId="77777777" w:rsidTr="008979D2">
        <w:trPr>
          <w:trHeight w:val="304"/>
        </w:trPr>
        <w:tc>
          <w:tcPr>
            <w:tcW w:w="1555" w:type="dxa"/>
            <w:gridSpan w:val="2"/>
          </w:tcPr>
          <w:p w14:paraId="5ED7C02F" w14:textId="7A8D781A"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{0320;0010}</w:t>
            </w:r>
          </w:p>
          <w:p w14:paraId="15F4A511"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656D366B"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Pirmā līmeņa kapitāls – pārejas definīcija</w:t>
            </w:r>
          </w:p>
          <w:p w14:paraId="5041E493" w14:textId="342F590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Regulas (ES) Nr. 575/2013 429. panta 3. punkts un 499. panta 1. punkta b) apakšpunkts.</w:t>
            </w:r>
          </w:p>
          <w:p w14:paraId="3270C368" w14:textId="285AC909" w:rsidR="00CB48CC" w:rsidRPr="000B66BC" w:rsidRDefault="00CB48CC" w:rsidP="00B70EBF">
            <w:pPr>
              <w:pStyle w:val="BodyText1"/>
              <w:spacing w:after="240" w:line="240" w:lineRule="auto"/>
              <w:rPr>
                <w:rFonts w:ascii="Times New Roman" w:hAnsi="Times New Roman"/>
                <w:bCs/>
                <w:sz w:val="24"/>
                <w:szCs w:val="24"/>
              </w:rPr>
            </w:pPr>
            <w:r>
              <w:rPr>
                <w:rFonts w:ascii="Times New Roman" w:hAnsi="Times New Roman"/>
                <w:sz w:val="24"/>
              </w:rPr>
              <w:t>Tā ir pirmā līmeņa kapitāla summa, kas aprēķināta saskaņā ar Regulas (ES) Nr. 575/2013 25. pantu, neņemot vērā Regulas (ES) Nr. 575/2013 desmitās daļas I sadaļas 1., 2. un 4. nodaļā noteikto atkāpi.</w:t>
            </w:r>
          </w:p>
        </w:tc>
      </w:tr>
      <w:tr w:rsidR="00CB48CC" w:rsidRPr="00E75BB8" w14:paraId="30D5612D" w14:textId="77777777" w:rsidTr="008979D2">
        <w:trPr>
          <w:trHeight w:val="304"/>
        </w:trPr>
        <w:tc>
          <w:tcPr>
            <w:tcW w:w="1555" w:type="dxa"/>
            <w:gridSpan w:val="2"/>
            <w:shd w:val="clear" w:color="auto" w:fill="D9D9D9" w:themeFill="background1" w:themeFillShade="D9"/>
          </w:tcPr>
          <w:p w14:paraId="3E09CDC7" w14:textId="4222548E" w:rsidR="00CB48CC" w:rsidRPr="000B66BC" w:rsidRDefault="00CB48CC" w:rsidP="000B66BC">
            <w:pPr>
              <w:pStyle w:val="BodyText1"/>
              <w:spacing w:after="240"/>
              <w:rPr>
                <w:rFonts w:ascii="Times New Roman" w:hAnsi="Times New Roman"/>
                <w:b/>
                <w:bCs/>
                <w:sz w:val="24"/>
                <w:szCs w:val="24"/>
              </w:rPr>
            </w:pPr>
            <w:r>
              <w:rPr>
                <w:rFonts w:ascii="Times New Roman" w:hAnsi="Times New Roman"/>
                <w:b/>
                <w:sz w:val="24"/>
              </w:rPr>
              <w:t>Rinda un sleja</w:t>
            </w:r>
          </w:p>
        </w:tc>
        <w:tc>
          <w:tcPr>
            <w:tcW w:w="7566" w:type="dxa"/>
            <w:shd w:val="clear" w:color="auto" w:fill="D9D9D9" w:themeFill="background1" w:themeFillShade="D9"/>
          </w:tcPr>
          <w:p w14:paraId="19280F08"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Sviras rādītājs</w:t>
            </w:r>
          </w:p>
        </w:tc>
      </w:tr>
      <w:tr w:rsidR="00CB48CC" w:rsidRPr="00E75BB8" w14:paraId="7E720607" w14:textId="77777777" w:rsidTr="008979D2">
        <w:trPr>
          <w:trHeight w:val="304"/>
        </w:trPr>
        <w:tc>
          <w:tcPr>
            <w:tcW w:w="1555" w:type="dxa"/>
            <w:gridSpan w:val="2"/>
          </w:tcPr>
          <w:p w14:paraId="04FDC8D4" w14:textId="563122E7"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{0330;0010}</w:t>
            </w:r>
          </w:p>
        </w:tc>
        <w:tc>
          <w:tcPr>
            <w:tcW w:w="7566" w:type="dxa"/>
          </w:tcPr>
          <w:p w14:paraId="170E1973"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Sviras rādītājs, izmantojot pilnībā ieviesto 1. līmeņa kapitāla definīciju</w:t>
            </w:r>
          </w:p>
          <w:p w14:paraId="14103416" w14:textId="3DDF1B9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Regulas (ES) Nr. 575/2013 429. panta 2. punkts un 499. panta 1. punkts</w:t>
            </w:r>
          </w:p>
          <w:p w14:paraId="13640073" w14:textId="33312D1E" w:rsidR="00CB48CC" w:rsidRPr="000B66BC" w:rsidRDefault="00CB48CC" w:rsidP="00B70EBF">
            <w:pPr>
              <w:pStyle w:val="BodyText1"/>
              <w:spacing w:after="240" w:line="240" w:lineRule="auto"/>
              <w:rPr>
                <w:rFonts w:ascii="Times New Roman" w:hAnsi="Times New Roman"/>
                <w:b/>
                <w:bCs/>
                <w:sz w:val="24"/>
                <w:szCs w:val="24"/>
              </w:rPr>
            </w:pPr>
            <w:r>
              <w:rPr>
                <w:rFonts w:ascii="Times New Roman" w:hAnsi="Times New Roman"/>
                <w:sz w:val="24"/>
              </w:rPr>
              <w:t>Tas ir sviras rādītājs, kas aprēķināts saskaņā ar šā pielikuma II daļas 2. punktu.</w:t>
            </w:r>
          </w:p>
        </w:tc>
      </w:tr>
      <w:tr w:rsidR="00CB48CC" w:rsidRPr="00E75BB8" w14:paraId="58F7E1A1" w14:textId="77777777" w:rsidTr="008979D2">
        <w:trPr>
          <w:trHeight w:val="304"/>
        </w:trPr>
        <w:tc>
          <w:tcPr>
            <w:tcW w:w="1555" w:type="dxa"/>
            <w:gridSpan w:val="2"/>
          </w:tcPr>
          <w:p w14:paraId="775E3AF8" w14:textId="15CC0D81"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{0340;0010}</w:t>
            </w:r>
          </w:p>
        </w:tc>
        <w:tc>
          <w:tcPr>
            <w:tcW w:w="7566" w:type="dxa"/>
          </w:tcPr>
          <w:p w14:paraId="750922D1"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Sviras rādītājs, izmantojot 1. līmeņa kapitāla pārejas definīciju</w:t>
            </w:r>
          </w:p>
          <w:p w14:paraId="26098DFB" w14:textId="009CAE8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Regulas (ES) Nr. 575/2013 429. panta 2. punkts un 499. panta 1. punkts</w:t>
            </w:r>
          </w:p>
          <w:p w14:paraId="173B4CA4" w14:textId="15DFD6E5" w:rsidR="000A486B" w:rsidRPr="000B66BC" w:rsidRDefault="00CB48CC" w:rsidP="00B70EBF">
            <w:pPr>
              <w:pStyle w:val="BodyText1"/>
              <w:spacing w:after="240" w:line="240" w:lineRule="auto"/>
              <w:rPr>
                <w:rFonts w:ascii="Times New Roman" w:hAnsi="Times New Roman"/>
                <w:b/>
                <w:bCs/>
                <w:sz w:val="24"/>
                <w:szCs w:val="24"/>
              </w:rPr>
            </w:pPr>
            <w:r>
              <w:rPr>
                <w:rFonts w:ascii="Times New Roman" w:hAnsi="Times New Roman"/>
                <w:sz w:val="24"/>
              </w:rPr>
              <w:t>Tas ir sviras rādītājs, kas aprēķināts saskaņā ar šā pielikuma II daļas 3. punktu.</w:t>
            </w:r>
          </w:p>
        </w:tc>
      </w:tr>
      <w:tr w:rsidR="00CB48CC" w:rsidRPr="00E75BB8" w14:paraId="39DF531E"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4F4CF2" w14:textId="395C0A79" w:rsidR="00CB48CC" w:rsidRPr="000B66BC" w:rsidRDefault="00CB48CC" w:rsidP="000B66BC">
            <w:pPr>
              <w:pStyle w:val="BodyText1"/>
              <w:spacing w:after="240"/>
              <w:rPr>
                <w:rFonts w:ascii="Times New Roman" w:hAnsi="Times New Roman"/>
                <w:bCs/>
                <w:sz w:val="24"/>
                <w:szCs w:val="24"/>
              </w:rPr>
            </w:pPr>
            <w:r>
              <w:rPr>
                <w:rFonts w:ascii="Times New Roman" w:hAnsi="Times New Roman"/>
                <w:b/>
                <w:sz w:val="24"/>
              </w:rPr>
              <w:t>Rinda un sleja</w:t>
            </w:r>
          </w:p>
        </w:tc>
        <w:tc>
          <w:tcPr>
            <w:tcW w:w="756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47A705"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Prasības: summas</w:t>
            </w:r>
          </w:p>
        </w:tc>
      </w:tr>
      <w:tr w:rsidR="00E36E71" w:rsidRPr="00E75BB8" w14:paraId="49D3F110"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478479BE" w14:textId="15CB4911"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{0350;0010}</w:t>
            </w:r>
          </w:p>
        </w:tc>
        <w:tc>
          <w:tcPr>
            <w:tcW w:w="7566" w:type="dxa"/>
            <w:tcBorders>
              <w:top w:val="single" w:sz="4" w:space="0" w:color="auto"/>
              <w:left w:val="single" w:sz="4" w:space="0" w:color="auto"/>
              <w:bottom w:val="single" w:sz="4" w:space="0" w:color="auto"/>
              <w:right w:val="single" w:sz="4" w:space="0" w:color="auto"/>
            </w:tcBorders>
            <w:vAlign w:val="center"/>
          </w:tcPr>
          <w:p w14:paraId="403F51AE"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pīlāra prasība (P2R) nolūkā novērst pārmērīgas sviras riskus</w:t>
            </w:r>
          </w:p>
          <w:p w14:paraId="52420558" w14:textId="1EE5977B" w:rsidR="00E36E71" w:rsidRPr="000B66BC" w:rsidRDefault="008B096D" w:rsidP="00B70EBF">
            <w:pPr>
              <w:pStyle w:val="BodyText1"/>
              <w:spacing w:after="240" w:line="240" w:lineRule="auto"/>
              <w:rPr>
                <w:rFonts w:ascii="Times New Roman" w:hAnsi="Times New Roman"/>
                <w:b/>
                <w:color w:val="auto"/>
                <w:sz w:val="24"/>
                <w:szCs w:val="24"/>
              </w:rPr>
            </w:pPr>
            <w:r>
              <w:rPr>
                <w:rFonts w:ascii="Times New Roman" w:hAnsi="Times New Roman"/>
                <w:sz w:val="24"/>
              </w:rPr>
              <w:lastRenderedPageBreak/>
              <w:t>DIREKTĪVAS 2013/36/ES 104. pants un 104.a pants; papildu pašu kapitāls, ko pieprasa kompetentā iestāde, lai novērstu pārmērīgas sviras riskus, kā minēts DIREKTĪVAS 2013/36/ES 104. pantā</w:t>
            </w:r>
          </w:p>
        </w:tc>
      </w:tr>
      <w:tr w:rsidR="00E36E71" w:rsidRPr="00E75BB8" w14:paraId="5E2FEE39"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62D3C276" w14:textId="64F853EC"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lastRenderedPageBreak/>
              <w:t>{0360;0010}</w:t>
            </w:r>
          </w:p>
        </w:tc>
        <w:tc>
          <w:tcPr>
            <w:tcW w:w="7566" w:type="dxa"/>
            <w:tcBorders>
              <w:top w:val="single" w:sz="4" w:space="0" w:color="auto"/>
              <w:left w:val="single" w:sz="4" w:space="0" w:color="auto"/>
              <w:bottom w:val="single" w:sz="4" w:space="0" w:color="auto"/>
              <w:right w:val="single" w:sz="4" w:space="0" w:color="auto"/>
            </w:tcBorders>
            <w:vAlign w:val="center"/>
          </w:tcPr>
          <w:p w14:paraId="2A6845DE" w14:textId="659EEC38"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No kā: ko veido pirmā līmeņa pamata kapitāls</w:t>
            </w:r>
          </w:p>
          <w:p w14:paraId="118609BA" w14:textId="66E6068C" w:rsidR="008E21B3" w:rsidRPr="000B66BC" w:rsidRDefault="008E21B3"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rindā minētā P2R daļa, ko kompetentā iestāde pieprasa turēt kā pirmā līmeņa pamata kapitālu</w:t>
            </w:r>
          </w:p>
        </w:tc>
      </w:tr>
      <w:tr w:rsidR="00E36E71" w:rsidRPr="00E75BB8" w14:paraId="050776BA"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1C554369" w14:textId="61BE47AC"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{0370;0010}</w:t>
            </w:r>
          </w:p>
        </w:tc>
        <w:tc>
          <w:tcPr>
            <w:tcW w:w="7566" w:type="dxa"/>
            <w:tcBorders>
              <w:top w:val="single" w:sz="4" w:space="0" w:color="auto"/>
              <w:left w:val="single" w:sz="4" w:space="0" w:color="auto"/>
              <w:bottom w:val="single" w:sz="4" w:space="0" w:color="auto"/>
              <w:right w:val="single" w:sz="4" w:space="0" w:color="auto"/>
            </w:tcBorders>
            <w:vAlign w:val="center"/>
          </w:tcPr>
          <w:p w14:paraId="60019DE4" w14:textId="4DD14E6A" w:rsidR="008E21B3"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G-SNI sviras rādītāja rezerve</w:t>
            </w:r>
          </w:p>
          <w:p w14:paraId="2DF708A7" w14:textId="4743D9F9" w:rsidR="008E21B3" w:rsidRPr="000B66BC" w:rsidRDefault="008E21B3" w:rsidP="000B66BC">
            <w:pPr>
              <w:pStyle w:val="BodyText1"/>
              <w:spacing w:after="240" w:line="240" w:lineRule="auto"/>
              <w:rPr>
                <w:rFonts w:ascii="Times New Roman" w:hAnsi="Times New Roman"/>
                <w:b/>
                <w:bCs/>
                <w:color w:val="auto"/>
                <w:sz w:val="24"/>
                <w:szCs w:val="24"/>
              </w:rPr>
            </w:pPr>
            <w:r>
              <w:rPr>
                <w:rFonts w:ascii="Times New Roman" w:hAnsi="Times New Roman"/>
                <w:sz w:val="24"/>
              </w:rPr>
              <w:t>Regulas (ES) Nr. 575/2013 92. panta 1.a punkts.</w:t>
            </w:r>
          </w:p>
          <w:p w14:paraId="04DDCD79" w14:textId="110DEF14" w:rsidR="008E21B3" w:rsidRPr="000B66BC" w:rsidRDefault="00B70EBF" w:rsidP="000B66BC">
            <w:pPr>
              <w:pStyle w:val="BodyText1"/>
              <w:spacing w:after="240"/>
              <w:rPr>
                <w:rFonts w:ascii="Times New Roman" w:hAnsi="Times New Roman"/>
                <w:bCs/>
                <w:color w:val="auto"/>
                <w:sz w:val="24"/>
                <w:szCs w:val="24"/>
              </w:rPr>
            </w:pPr>
            <w:r>
              <w:rPr>
                <w:rFonts w:ascii="Times New Roman" w:hAnsi="Times New Roman"/>
                <w:sz w:val="24"/>
              </w:rPr>
              <w:t>G-SNI uzrāda G-SNI palielinājuma vērtību sviras rādītājam, ko nosaka saskaņā ar Regulas (ES) Nr. 575/2013 92. panta 1.a punktu.</w:t>
            </w:r>
          </w:p>
          <w:p w14:paraId="10B82F9E" w14:textId="5E998451" w:rsidR="00E36E71" w:rsidRPr="000B66BC" w:rsidRDefault="008E21B3" w:rsidP="000B66BC">
            <w:pPr>
              <w:pStyle w:val="BodyText1"/>
              <w:spacing w:after="240"/>
              <w:rPr>
                <w:rFonts w:ascii="Times New Roman" w:hAnsi="Times New Roman"/>
                <w:b/>
                <w:color w:val="auto"/>
                <w:sz w:val="24"/>
                <w:szCs w:val="24"/>
              </w:rPr>
            </w:pPr>
            <w:r>
              <w:rPr>
                <w:rFonts w:ascii="Times New Roman" w:hAnsi="Times New Roman"/>
                <w:sz w:val="24"/>
              </w:rPr>
              <w:t>G-SNI uzrāda šo summu, kāda tā ir rezervju piemērošanas dienā saskaņā ar Regulu (ES) Nr. 575/2013.</w:t>
            </w:r>
          </w:p>
        </w:tc>
      </w:tr>
      <w:tr w:rsidR="00E36E71" w:rsidRPr="00E75BB8" w14:paraId="756B6F5A"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A626523" w14:textId="5BD07284"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{0380;0010}</w:t>
            </w:r>
          </w:p>
        </w:tc>
        <w:tc>
          <w:tcPr>
            <w:tcW w:w="7566" w:type="dxa"/>
            <w:tcBorders>
              <w:top w:val="single" w:sz="4" w:space="0" w:color="auto"/>
              <w:left w:val="single" w:sz="4" w:space="0" w:color="auto"/>
              <w:bottom w:val="single" w:sz="4" w:space="0" w:color="auto"/>
              <w:right w:val="single" w:sz="4" w:space="0" w:color="auto"/>
            </w:tcBorders>
            <w:vAlign w:val="center"/>
          </w:tcPr>
          <w:p w14:paraId="7BCE9F97"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pīlāra norādījumu par kapitālu (P2G) nolūkā novērst pārmērīgas sviras riskus</w:t>
            </w:r>
          </w:p>
          <w:p w14:paraId="0B3B1A45" w14:textId="68F57FF2" w:rsidR="00E36E71" w:rsidRPr="000B66BC" w:rsidRDefault="008E21B3"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DIREKTĪVAS 2013/36/ES 104.b pants; papildu pašu kapitāls, ko paziņojusi kompetentā iestāde, lai novērstu pārmērīgas sviras riskus, kā minēts DIREKTĪVAS 2013/36/ES 104.b pantā</w:t>
            </w:r>
          </w:p>
        </w:tc>
      </w:tr>
      <w:tr w:rsidR="00E36E71" w:rsidRPr="00E75BB8" w14:paraId="5FB7C0D6"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359BC8EE" w14:textId="66C61468"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{0390;0010}</w:t>
            </w:r>
          </w:p>
        </w:tc>
        <w:tc>
          <w:tcPr>
            <w:tcW w:w="7566" w:type="dxa"/>
            <w:tcBorders>
              <w:top w:val="single" w:sz="4" w:space="0" w:color="auto"/>
              <w:left w:val="single" w:sz="4" w:space="0" w:color="auto"/>
              <w:bottom w:val="single" w:sz="4" w:space="0" w:color="auto"/>
              <w:right w:val="single" w:sz="4" w:space="0" w:color="auto"/>
            </w:tcBorders>
            <w:vAlign w:val="center"/>
          </w:tcPr>
          <w:p w14:paraId="34782868"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No kā: ko veido pirmā līmeņa pamata kapitāls</w:t>
            </w:r>
          </w:p>
          <w:p w14:paraId="3318F690" w14:textId="590855DB" w:rsidR="00E36E71" w:rsidRPr="000B66BC" w:rsidRDefault="00FB31D6"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rindā minētā P2G daļa, ko kompetentā iestāde pieprasa turēt kā pirmā līmeņa pamata kapitālu</w:t>
            </w:r>
          </w:p>
        </w:tc>
      </w:tr>
      <w:tr w:rsidR="00E36E71" w:rsidRPr="00E75BB8" w14:paraId="65AB50BB"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276DB95F" w14:textId="0B1F3FB1"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{0400;0010}</w:t>
            </w:r>
          </w:p>
        </w:tc>
        <w:tc>
          <w:tcPr>
            <w:tcW w:w="7566" w:type="dxa"/>
            <w:tcBorders>
              <w:top w:val="single" w:sz="4" w:space="0" w:color="auto"/>
              <w:left w:val="single" w:sz="4" w:space="0" w:color="auto"/>
              <w:bottom w:val="single" w:sz="4" w:space="0" w:color="auto"/>
              <w:right w:val="single" w:sz="4" w:space="0" w:color="auto"/>
            </w:tcBorders>
            <w:vAlign w:val="center"/>
          </w:tcPr>
          <w:p w14:paraId="726461BE" w14:textId="2AF2CC4F" w:rsidR="00FB31D6" w:rsidRPr="000B66BC" w:rsidRDefault="00E36E71" w:rsidP="000B66BC">
            <w:pPr>
              <w:pStyle w:val="BodyText1"/>
              <w:spacing w:after="240" w:line="240" w:lineRule="auto"/>
              <w:rPr>
                <w:rFonts w:ascii="Times New Roman" w:hAnsi="Times New Roman"/>
                <w:color w:val="auto"/>
                <w:sz w:val="24"/>
                <w:szCs w:val="24"/>
              </w:rPr>
            </w:pPr>
            <w:r>
              <w:rPr>
                <w:rFonts w:ascii="Times New Roman" w:hAnsi="Times New Roman"/>
                <w:b/>
                <w:color w:val="auto"/>
                <w:sz w:val="24"/>
              </w:rPr>
              <w:t>No kā: ko veido pirmā līmeņa kapitāls</w:t>
            </w:r>
          </w:p>
          <w:p w14:paraId="69A1223C" w14:textId="5FB61961" w:rsidR="00E36E71" w:rsidRPr="000B66BC" w:rsidRDefault="00FB31D6"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rindā minētā P2G daļa, ko kompetentā iestāde pieprasa turēt kā pirmā līmeņa pamata kapitālu</w:t>
            </w:r>
          </w:p>
        </w:tc>
      </w:tr>
      <w:tr w:rsidR="00E36E71" w:rsidRPr="00E75BB8" w14:paraId="0EAD8BE9"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A6857C" w14:textId="480AB7BD" w:rsidR="00E36E71" w:rsidRPr="000B66BC" w:rsidRDefault="00E36E71" w:rsidP="000B66BC">
            <w:pPr>
              <w:pStyle w:val="BodyText1"/>
              <w:spacing w:after="240"/>
              <w:rPr>
                <w:rFonts w:ascii="Times New Roman" w:hAnsi="Times New Roman"/>
                <w:b/>
                <w:bCs/>
                <w:sz w:val="24"/>
                <w:szCs w:val="24"/>
              </w:rPr>
            </w:pPr>
            <w:r>
              <w:rPr>
                <w:rFonts w:ascii="Times New Roman" w:hAnsi="Times New Roman"/>
                <w:b/>
                <w:sz w:val="24"/>
              </w:rPr>
              <w:t>Rinda un sleja</w:t>
            </w:r>
          </w:p>
        </w:tc>
        <w:tc>
          <w:tcPr>
            <w:tcW w:w="75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5B8FEE"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sz w:val="24"/>
              </w:rPr>
              <w:t>Prasības: rādītāji</w:t>
            </w:r>
          </w:p>
        </w:tc>
      </w:tr>
      <w:tr w:rsidR="00CB48CC" w:rsidRPr="00E75BB8" w14:paraId="297BFBE3"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32DD133B" w14:textId="17E35BDE"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{0410;0010}</w:t>
            </w:r>
          </w:p>
        </w:tc>
        <w:tc>
          <w:tcPr>
            <w:tcW w:w="7566" w:type="dxa"/>
            <w:tcBorders>
              <w:top w:val="single" w:sz="4" w:space="0" w:color="auto"/>
              <w:left w:val="single" w:sz="4" w:space="0" w:color="auto"/>
              <w:bottom w:val="single" w:sz="4" w:space="0" w:color="auto"/>
              <w:right w:val="single" w:sz="4" w:space="0" w:color="auto"/>
            </w:tcBorders>
            <w:vAlign w:val="center"/>
          </w:tcPr>
          <w:p w14:paraId="7CC2B3A5" w14:textId="5E37AED7" w:rsidR="00CB48CC" w:rsidRPr="000B66BC" w:rsidRDefault="00E36E71"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rPr>
              <w:t xml:space="preserve">pīlāra sviras rādītāja prasība </w:t>
            </w:r>
          </w:p>
          <w:p w14:paraId="75955E40" w14:textId="43A3F922" w:rsidR="00B70EBF" w:rsidRDefault="006F5F1F" w:rsidP="00B70EBF">
            <w:pPr>
              <w:pStyle w:val="BodyText1"/>
              <w:spacing w:after="240" w:line="240" w:lineRule="auto"/>
              <w:rPr>
                <w:rFonts w:ascii="Times New Roman" w:hAnsi="Times New Roman"/>
                <w:bCs/>
                <w:color w:val="auto"/>
                <w:sz w:val="24"/>
                <w:szCs w:val="24"/>
              </w:rPr>
            </w:pPr>
            <w:r>
              <w:rPr>
                <w:rFonts w:ascii="Times New Roman" w:hAnsi="Times New Roman"/>
                <w:sz w:val="24"/>
              </w:rPr>
              <w:t>Regulas (ES) Nr. 575/2013 429.a panta 1. punkta d) apakšpunkts, 429.a panta 7. punkts un 429.a panta 1. punkta n) apakšpunkts nepieciešamais sviras rādītājs nolūkā novērst pārmērīgas sviras riskus, kā minēts Regulas (ES) Nr. 575/2013 92. panta 1. punkta d) apakšpunktā</w:t>
            </w:r>
          </w:p>
          <w:p w14:paraId="2ACA2F0E" w14:textId="04995476" w:rsidR="00CB48CC" w:rsidRPr="000B66BC" w:rsidRDefault="00FB31D6" w:rsidP="00B70EBF">
            <w:pPr>
              <w:pStyle w:val="BodyText1"/>
              <w:spacing w:after="240" w:line="240" w:lineRule="auto"/>
              <w:rPr>
                <w:rFonts w:ascii="Times New Roman" w:hAnsi="Times New Roman"/>
                <w:b/>
                <w:bCs/>
                <w:color w:val="auto"/>
                <w:sz w:val="24"/>
                <w:szCs w:val="24"/>
              </w:rPr>
            </w:pPr>
            <w:r>
              <w:rPr>
                <w:rFonts w:ascii="Times New Roman" w:hAnsi="Times New Roman"/>
                <w:sz w:val="24"/>
              </w:rPr>
              <w:t>Iestādes, kas izslēdz riska darījumus ar iestādes centrālo banku, kā minēts 429.a panta 1. punkta n) apakšpunktā, uzrāda koriģēto sviras rādītāja prasību saskaņā ar Regulas (ES) Nr. 575/2013 429.a panta 7. punktu.</w:t>
            </w:r>
          </w:p>
        </w:tc>
      </w:tr>
      <w:tr w:rsidR="00E36E71" w:rsidRPr="00E75BB8" w14:paraId="18E64DF4"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147AF81A" w14:textId="0848022F"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lastRenderedPageBreak/>
              <w:t>{0420;0010}</w:t>
            </w:r>
          </w:p>
        </w:tc>
        <w:tc>
          <w:tcPr>
            <w:tcW w:w="7566" w:type="dxa"/>
            <w:tcBorders>
              <w:top w:val="single" w:sz="4" w:space="0" w:color="auto"/>
              <w:left w:val="single" w:sz="4" w:space="0" w:color="auto"/>
              <w:bottom w:val="single" w:sz="4" w:space="0" w:color="auto"/>
              <w:right w:val="single" w:sz="4" w:space="0" w:color="auto"/>
            </w:tcBorders>
            <w:vAlign w:val="center"/>
          </w:tcPr>
          <w:p w14:paraId="4C8CBF9B"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Kopējā SREP sviras rādītāja prasība (TSLRR)</w:t>
            </w:r>
          </w:p>
          <w:p w14:paraId="58E6C4BD" w14:textId="1E3D269F" w:rsidR="00FB31D6"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sz w:val="24"/>
              </w:rPr>
              <w:t>DIREKTĪVAS 2013/36/ES 104. pants un 104.a pants;</w:t>
            </w:r>
          </w:p>
          <w:p w14:paraId="010497B2" w14:textId="77777777" w:rsidR="00FB31D6" w:rsidRPr="000B66BC" w:rsidRDefault="00FB31D6" w:rsidP="000B66BC">
            <w:pPr>
              <w:pStyle w:val="BodyText1"/>
              <w:spacing w:after="240" w:line="240" w:lineRule="auto"/>
              <w:rPr>
                <w:rFonts w:ascii="Times New Roman" w:hAnsi="Times New Roman"/>
                <w:bCs/>
                <w:sz w:val="24"/>
                <w:szCs w:val="24"/>
              </w:rPr>
            </w:pPr>
            <w:r>
              <w:rPr>
                <w:rFonts w:ascii="Times New Roman" w:hAnsi="Times New Roman"/>
                <w:sz w:val="24"/>
              </w:rPr>
              <w:t>Tā ir šo i) un ii) summa:</w:t>
            </w:r>
          </w:p>
          <w:p w14:paraId="2BCF2D92" w14:textId="4D8870D5" w:rsidR="00FB31D6" w:rsidRPr="000B66BC" w:rsidRDefault="00FB31D6" w:rsidP="000B66BC">
            <w:pPr>
              <w:pStyle w:val="BodyText1"/>
              <w:numPr>
                <w:ilvl w:val="0"/>
                <w:numId w:val="27"/>
              </w:numPr>
              <w:spacing w:after="240" w:line="240" w:lineRule="auto"/>
              <w:rPr>
                <w:rFonts w:ascii="Times New Roman" w:hAnsi="Times New Roman"/>
                <w:bCs/>
                <w:sz w:val="24"/>
                <w:szCs w:val="24"/>
              </w:rPr>
            </w:pPr>
            <w:r>
              <w:rPr>
                <w:rFonts w:ascii="Times New Roman" w:hAnsi="Times New Roman"/>
                <w:sz w:val="24"/>
              </w:rPr>
              <w:t>pīlāra sviras rādītāja prasība, kā uzrādīts 0410. rindā;</w:t>
            </w:r>
          </w:p>
          <w:p w14:paraId="4613F532" w14:textId="311FA7CC" w:rsidR="00FB31D6" w:rsidRPr="000B66BC" w:rsidRDefault="00FB31D6" w:rsidP="000B66BC">
            <w:pPr>
              <w:pStyle w:val="BodyText1"/>
              <w:numPr>
                <w:ilvl w:val="0"/>
                <w:numId w:val="27"/>
              </w:numPr>
              <w:spacing w:after="240" w:line="240" w:lineRule="auto"/>
              <w:rPr>
                <w:rFonts w:ascii="Times New Roman" w:hAnsi="Times New Roman"/>
                <w:b/>
                <w:color w:val="auto"/>
                <w:sz w:val="24"/>
                <w:szCs w:val="24"/>
              </w:rPr>
            </w:pPr>
            <w:r>
              <w:rPr>
                <w:rFonts w:ascii="Times New Roman" w:hAnsi="Times New Roman"/>
                <w:sz w:val="24"/>
              </w:rPr>
              <w:t>papildu pašu kapitāla rādītājs, ko pieprasa kompetentā iestāde (</w:t>
            </w:r>
            <w:r>
              <w:rPr>
                <w:rFonts w:ascii="Times New Roman" w:hAnsi="Times New Roman"/>
                <w:i/>
                <w:iCs/>
                <w:sz w:val="24"/>
              </w:rPr>
              <w:t>P2R</w:t>
            </w:r>
            <w:r>
              <w:rPr>
                <w:rFonts w:ascii="Times New Roman" w:hAnsi="Times New Roman"/>
                <w:sz w:val="24"/>
              </w:rPr>
              <w:t>), lai novērstu pārmērīgas sviras riskus, kā minēts DIREKTĪVAS 2013/36/ES 104. pantā.</w:t>
            </w:r>
          </w:p>
          <w:p w14:paraId="4F1A1488" w14:textId="77777777" w:rsidR="00B70EBF" w:rsidRDefault="00780634" w:rsidP="00B70EBF">
            <w:pPr>
              <w:pStyle w:val="BodyText1"/>
              <w:spacing w:after="240" w:line="240" w:lineRule="auto"/>
              <w:rPr>
                <w:rFonts w:ascii="Times New Roman" w:hAnsi="Times New Roman"/>
                <w:color w:val="auto"/>
                <w:sz w:val="24"/>
                <w:szCs w:val="24"/>
              </w:rPr>
            </w:pPr>
            <w:r>
              <w:rPr>
                <w:rFonts w:ascii="Times New Roman" w:hAnsi="Times New Roman"/>
                <w:sz w:val="24"/>
              </w:rPr>
              <w:t>Iestādes aprēķina ii) punkta summu, dalot {0350;0010} ar {0300;0010}.</w:t>
            </w:r>
            <w:r>
              <w:rPr>
                <w:rFonts w:ascii="Times New Roman" w:hAnsi="Times New Roman"/>
                <w:color w:val="auto"/>
                <w:sz w:val="24"/>
              </w:rPr>
              <w:t xml:space="preserve"> </w:t>
            </w:r>
          </w:p>
          <w:p w14:paraId="128BD13A" w14:textId="3F8F4801" w:rsidR="00FB31D6" w:rsidRPr="000B66BC" w:rsidRDefault="00B70EBF"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Ja kompetentā iestāde nav paziņojusi nekādas papildu pašu kapitāla prasības, uzrāda tikai i) punkta summu.</w:t>
            </w:r>
          </w:p>
        </w:tc>
      </w:tr>
      <w:tr w:rsidR="00E36E71" w:rsidRPr="00E75BB8" w14:paraId="0482CAD5"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56493FBD" w14:textId="065D7838"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{0430;0010}</w:t>
            </w:r>
          </w:p>
        </w:tc>
        <w:tc>
          <w:tcPr>
            <w:tcW w:w="7566" w:type="dxa"/>
            <w:tcBorders>
              <w:top w:val="single" w:sz="4" w:space="0" w:color="auto"/>
              <w:left w:val="single" w:sz="4" w:space="0" w:color="auto"/>
              <w:bottom w:val="single" w:sz="4" w:space="0" w:color="auto"/>
              <w:right w:val="single" w:sz="4" w:space="0" w:color="auto"/>
            </w:tcBorders>
            <w:vAlign w:val="center"/>
          </w:tcPr>
          <w:p w14:paraId="531F150B" w14:textId="77777777"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i/>
                <w:iCs/>
                <w:color w:val="auto"/>
                <w:sz w:val="24"/>
              </w:rPr>
              <w:t>TSLRR</w:t>
            </w:r>
            <w:r>
              <w:rPr>
                <w:rFonts w:ascii="Times New Roman" w:hAnsi="Times New Roman"/>
                <w:b/>
                <w:color w:val="auto"/>
                <w:sz w:val="24"/>
              </w:rPr>
              <w:t>: ko veido pirmā līmeņa pamata kapitāls</w:t>
            </w:r>
          </w:p>
          <w:p w14:paraId="7473B81A" w14:textId="78011C71" w:rsidR="00780634" w:rsidRPr="000B66BC" w:rsidRDefault="00A0709E"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Tā ir ii) punktā minētā papildu pašu kapitāla rādītāja daļa 0420. rindā, ko kompetentā iestāde pieprasa turēt kā pirmā līmeņa pamata kapitālu.</w:t>
            </w:r>
          </w:p>
          <w:p w14:paraId="17146566" w14:textId="4E043C22" w:rsidR="00E36E71" w:rsidRPr="000B66BC" w:rsidRDefault="00780634" w:rsidP="000B66BC">
            <w:pPr>
              <w:pStyle w:val="BodyText1"/>
              <w:spacing w:after="240" w:line="240" w:lineRule="auto"/>
              <w:rPr>
                <w:rFonts w:ascii="Times New Roman" w:hAnsi="Times New Roman"/>
                <w:b/>
                <w:color w:val="auto"/>
                <w:sz w:val="24"/>
                <w:szCs w:val="24"/>
              </w:rPr>
            </w:pPr>
            <w:r>
              <w:rPr>
                <w:rFonts w:ascii="Times New Roman" w:hAnsi="Times New Roman"/>
                <w:sz w:val="24"/>
              </w:rPr>
              <w:t>Iestādes aprēķina šo summu, dalot {0360;0010} ar {0300;0010}.</w:t>
            </w:r>
          </w:p>
        </w:tc>
      </w:tr>
      <w:tr w:rsidR="00E36E71" w:rsidRPr="00E75BB8" w14:paraId="769316AF"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1E4C5FF" w14:textId="7241185F"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{0440;0010}</w:t>
            </w:r>
          </w:p>
        </w:tc>
        <w:tc>
          <w:tcPr>
            <w:tcW w:w="7566" w:type="dxa"/>
            <w:tcBorders>
              <w:top w:val="single" w:sz="4" w:space="0" w:color="auto"/>
              <w:left w:val="single" w:sz="4" w:space="0" w:color="auto"/>
              <w:bottom w:val="single" w:sz="4" w:space="0" w:color="auto"/>
              <w:right w:val="single" w:sz="4" w:space="0" w:color="auto"/>
            </w:tcBorders>
            <w:vAlign w:val="center"/>
          </w:tcPr>
          <w:p w14:paraId="408C666F"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Vispārējā sviras rādītāja prasība (</w:t>
            </w:r>
            <w:r>
              <w:rPr>
                <w:rFonts w:ascii="Times New Roman" w:hAnsi="Times New Roman"/>
                <w:b/>
                <w:i/>
                <w:iCs/>
                <w:color w:val="auto"/>
                <w:sz w:val="24"/>
              </w:rPr>
              <w:t>OLRR</w:t>
            </w:r>
            <w:r>
              <w:rPr>
                <w:rFonts w:ascii="Times New Roman" w:hAnsi="Times New Roman"/>
                <w:b/>
                <w:color w:val="auto"/>
                <w:sz w:val="24"/>
              </w:rPr>
              <w:t>)</w:t>
            </w:r>
          </w:p>
          <w:p w14:paraId="42BE8CD3" w14:textId="0949F4CF"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sz w:val="24"/>
              </w:rPr>
              <w:t>Regulas (ES) Nr. 575/2013 92. panta 1.a punkts.</w:t>
            </w:r>
          </w:p>
          <w:p w14:paraId="1BB646F8" w14:textId="77777777" w:rsidR="00136A9C" w:rsidRPr="000B66BC" w:rsidRDefault="00136A9C" w:rsidP="000B66BC">
            <w:pPr>
              <w:pStyle w:val="BodyText1"/>
              <w:spacing w:after="240"/>
              <w:rPr>
                <w:rFonts w:ascii="Times New Roman" w:hAnsi="Times New Roman"/>
                <w:bCs/>
                <w:color w:val="auto"/>
                <w:sz w:val="24"/>
                <w:szCs w:val="24"/>
              </w:rPr>
            </w:pPr>
            <w:r>
              <w:rPr>
                <w:rFonts w:ascii="Times New Roman" w:hAnsi="Times New Roman"/>
                <w:color w:val="auto"/>
                <w:sz w:val="24"/>
              </w:rPr>
              <w:t>Tā ir šo i) un ii) summa:</w:t>
            </w:r>
          </w:p>
          <w:p w14:paraId="3ACD46ED" w14:textId="4650EB7F" w:rsidR="00136A9C" w:rsidRPr="000B66BC" w:rsidRDefault="00136A9C" w:rsidP="000B66BC">
            <w:pPr>
              <w:pStyle w:val="BodyText1"/>
              <w:numPr>
                <w:ilvl w:val="0"/>
                <w:numId w:val="28"/>
              </w:numPr>
              <w:spacing w:after="240"/>
              <w:rPr>
                <w:rFonts w:ascii="Times New Roman" w:hAnsi="Times New Roman"/>
                <w:bCs/>
                <w:color w:val="auto"/>
                <w:sz w:val="24"/>
                <w:szCs w:val="24"/>
              </w:rPr>
            </w:pPr>
            <w:r>
              <w:rPr>
                <w:rFonts w:ascii="Times New Roman" w:hAnsi="Times New Roman"/>
                <w:i/>
                <w:iCs/>
                <w:color w:val="auto"/>
                <w:sz w:val="24"/>
              </w:rPr>
              <w:t>TSLR</w:t>
            </w:r>
            <w:r>
              <w:rPr>
                <w:rFonts w:ascii="Times New Roman" w:hAnsi="Times New Roman"/>
                <w:color w:val="auto"/>
                <w:sz w:val="24"/>
              </w:rPr>
              <w:t>R, ko norāda 0420. rindā;</w:t>
            </w:r>
          </w:p>
          <w:p w14:paraId="7026B9BA" w14:textId="754156AE" w:rsidR="00136A9C" w:rsidRPr="000B66BC" w:rsidRDefault="00136A9C" w:rsidP="000B66BC">
            <w:pPr>
              <w:pStyle w:val="BodyText1"/>
              <w:numPr>
                <w:ilvl w:val="0"/>
                <w:numId w:val="28"/>
              </w:numPr>
              <w:spacing w:after="240"/>
              <w:rPr>
                <w:rFonts w:ascii="Times New Roman" w:hAnsi="Times New Roman"/>
                <w:bCs/>
                <w:color w:val="auto"/>
                <w:sz w:val="24"/>
                <w:szCs w:val="24"/>
              </w:rPr>
            </w:pPr>
            <w:r>
              <w:rPr>
                <w:rFonts w:ascii="Times New Roman" w:hAnsi="Times New Roman"/>
                <w:sz w:val="24"/>
              </w:rPr>
              <w:t>G-SNI sviras rādītāja rezerves saskaņā ar Regulas (ES) Nr. 575/2013 92. panta 1.a punktu, kas izteiktas procentos no kopējā riska darījumu vērtības mēra.</w:t>
            </w:r>
          </w:p>
          <w:p w14:paraId="2D72E728" w14:textId="77777777" w:rsidR="00B70EBF" w:rsidRDefault="00B70EBF" w:rsidP="000B66BC">
            <w:pPr>
              <w:pStyle w:val="BodyText1"/>
              <w:spacing w:after="240"/>
              <w:rPr>
                <w:rFonts w:ascii="Times New Roman" w:hAnsi="Times New Roman"/>
                <w:bCs/>
                <w:sz w:val="24"/>
                <w:szCs w:val="24"/>
              </w:rPr>
            </w:pPr>
            <w:r>
              <w:rPr>
                <w:rFonts w:ascii="Times New Roman" w:hAnsi="Times New Roman"/>
                <w:sz w:val="24"/>
              </w:rPr>
              <w:t>Iestādes aprēķina ii) punkta summu, dalot {0370;0010} ar {0300;0010}.</w:t>
            </w:r>
          </w:p>
          <w:p w14:paraId="341458F5" w14:textId="66A734DD" w:rsidR="00136A9C" w:rsidRPr="000B66BC" w:rsidRDefault="00136A9C" w:rsidP="000B66BC">
            <w:pPr>
              <w:pStyle w:val="BodyText1"/>
              <w:spacing w:after="240"/>
              <w:rPr>
                <w:rFonts w:ascii="Times New Roman" w:hAnsi="Times New Roman"/>
                <w:bCs/>
                <w:color w:val="auto"/>
                <w:sz w:val="24"/>
                <w:szCs w:val="24"/>
              </w:rPr>
            </w:pPr>
            <w:r>
              <w:rPr>
                <w:rFonts w:ascii="Times New Roman" w:hAnsi="Times New Roman"/>
                <w:color w:val="auto"/>
                <w:sz w:val="24"/>
              </w:rPr>
              <w:t>G-SNI ii) punktu ņem vērā tikai no rezervju piemērošanas dienas saskaņā ar Regulu (ES) Nr. 575/2013.</w:t>
            </w:r>
          </w:p>
          <w:p w14:paraId="0AEE6486" w14:textId="71BAF399" w:rsidR="00136A9C" w:rsidRPr="000B66BC" w:rsidRDefault="00136A9C"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Ja G-SNI palielinājums nav piemērojams, uzrāda tikai i) punkta summu.</w:t>
            </w:r>
          </w:p>
        </w:tc>
      </w:tr>
      <w:tr w:rsidR="00E36E71" w:rsidRPr="00E75BB8" w14:paraId="700506B4"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3DA25A6" w14:textId="7BC3EB01" w:rsidR="00E36E71" w:rsidRPr="000B66BC" w:rsidRDefault="00A0709E" w:rsidP="000B66BC">
            <w:pPr>
              <w:pStyle w:val="BodyText1"/>
              <w:spacing w:after="240"/>
              <w:rPr>
                <w:rFonts w:ascii="Times New Roman" w:hAnsi="Times New Roman"/>
                <w:bCs/>
                <w:sz w:val="24"/>
                <w:szCs w:val="24"/>
              </w:rPr>
            </w:pPr>
            <w:r>
              <w:rPr>
                <w:rFonts w:ascii="Times New Roman" w:hAnsi="Times New Roman"/>
                <w:sz w:val="24"/>
              </w:rPr>
              <w:t>{0450;0010}</w:t>
            </w:r>
          </w:p>
        </w:tc>
        <w:tc>
          <w:tcPr>
            <w:tcW w:w="7566" w:type="dxa"/>
            <w:tcBorders>
              <w:top w:val="single" w:sz="4" w:space="0" w:color="auto"/>
              <w:left w:val="single" w:sz="4" w:space="0" w:color="auto"/>
              <w:bottom w:val="single" w:sz="4" w:space="0" w:color="auto"/>
              <w:right w:val="single" w:sz="4" w:space="0" w:color="auto"/>
            </w:tcBorders>
            <w:vAlign w:val="center"/>
          </w:tcPr>
          <w:p w14:paraId="39440973" w14:textId="44BB98C0" w:rsidR="00136A9C" w:rsidRPr="000B66BC" w:rsidRDefault="00E36E71" w:rsidP="000B66BC">
            <w:pPr>
              <w:pStyle w:val="BodyText1"/>
              <w:spacing w:after="240" w:line="240" w:lineRule="auto"/>
              <w:rPr>
                <w:rFonts w:ascii="Times New Roman" w:hAnsi="Times New Roman"/>
                <w:bCs/>
                <w:sz w:val="24"/>
                <w:szCs w:val="24"/>
              </w:rPr>
            </w:pPr>
            <w:r>
              <w:rPr>
                <w:rFonts w:ascii="Times New Roman" w:hAnsi="Times New Roman"/>
                <w:b/>
                <w:color w:val="auto"/>
                <w:sz w:val="24"/>
              </w:rPr>
              <w:t>Vispārējās sviras rādītāja prasības (</w:t>
            </w:r>
            <w:r>
              <w:rPr>
                <w:rFonts w:ascii="Times New Roman" w:hAnsi="Times New Roman"/>
                <w:b/>
                <w:i/>
                <w:iCs/>
                <w:color w:val="auto"/>
                <w:sz w:val="24"/>
              </w:rPr>
              <w:t>OLRR</w:t>
            </w:r>
            <w:r>
              <w:rPr>
                <w:rFonts w:ascii="Times New Roman" w:hAnsi="Times New Roman"/>
                <w:b/>
                <w:color w:val="auto"/>
                <w:sz w:val="24"/>
              </w:rPr>
              <w:t>) un 2. pīlāra norādījumu par kapitālu (</w:t>
            </w:r>
            <w:r>
              <w:rPr>
                <w:rFonts w:ascii="Times New Roman" w:hAnsi="Times New Roman"/>
                <w:b/>
                <w:i/>
                <w:iCs/>
                <w:color w:val="auto"/>
                <w:sz w:val="24"/>
              </w:rPr>
              <w:t>P2G</w:t>
            </w:r>
            <w:r>
              <w:rPr>
                <w:rFonts w:ascii="Times New Roman" w:hAnsi="Times New Roman"/>
                <w:b/>
                <w:color w:val="auto"/>
                <w:sz w:val="24"/>
              </w:rPr>
              <w:t>) rādītājs</w:t>
            </w:r>
          </w:p>
          <w:p w14:paraId="022B6350" w14:textId="7060CF19"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sz w:val="24"/>
              </w:rPr>
              <w:t>DIREKTĪVAS 2013/36/ES 104.b pants;</w:t>
            </w:r>
          </w:p>
          <w:p w14:paraId="358F5440" w14:textId="77777777"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sz w:val="24"/>
              </w:rPr>
              <w:t>Tā ir šo i) un ii) summa:</w:t>
            </w:r>
          </w:p>
          <w:p w14:paraId="4E42EACA" w14:textId="261B723C" w:rsidR="00136A9C" w:rsidRPr="000B66BC" w:rsidRDefault="00136A9C" w:rsidP="000B66BC">
            <w:pPr>
              <w:pStyle w:val="BodyText1"/>
              <w:numPr>
                <w:ilvl w:val="0"/>
                <w:numId w:val="29"/>
              </w:numPr>
              <w:spacing w:after="240" w:line="240" w:lineRule="auto"/>
              <w:rPr>
                <w:rFonts w:ascii="Times New Roman" w:hAnsi="Times New Roman"/>
                <w:color w:val="auto"/>
                <w:sz w:val="24"/>
                <w:szCs w:val="24"/>
              </w:rPr>
            </w:pPr>
            <w:r>
              <w:rPr>
                <w:rFonts w:ascii="Times New Roman" w:hAnsi="Times New Roman"/>
                <w:i/>
                <w:iCs/>
                <w:color w:val="auto"/>
                <w:sz w:val="24"/>
              </w:rPr>
              <w:lastRenderedPageBreak/>
              <w:t>OLRR</w:t>
            </w:r>
            <w:r>
              <w:rPr>
                <w:rFonts w:ascii="Times New Roman" w:hAnsi="Times New Roman"/>
                <w:color w:val="auto"/>
                <w:sz w:val="24"/>
              </w:rPr>
              <w:t>, kas minēts 0440. rindā;</w:t>
            </w:r>
          </w:p>
          <w:p w14:paraId="51B081D7" w14:textId="1328C32A" w:rsidR="00136A9C" w:rsidRPr="000B66BC" w:rsidRDefault="00136A9C" w:rsidP="000B66BC">
            <w:pPr>
              <w:pStyle w:val="BodyText1"/>
              <w:numPr>
                <w:ilvl w:val="0"/>
                <w:numId w:val="29"/>
              </w:numPr>
              <w:spacing w:after="240" w:line="240" w:lineRule="auto"/>
              <w:rPr>
                <w:rFonts w:ascii="Times New Roman" w:hAnsi="Times New Roman"/>
                <w:b/>
                <w:bCs/>
                <w:color w:val="auto"/>
                <w:sz w:val="24"/>
                <w:szCs w:val="24"/>
              </w:rPr>
            </w:pPr>
            <w:r>
              <w:rPr>
                <w:rFonts w:ascii="Times New Roman" w:hAnsi="Times New Roman"/>
                <w:color w:val="auto"/>
                <w:sz w:val="24"/>
              </w:rPr>
              <w:t>papildu pašu kapitāls, par ko paziņojusi kompetentā iestāde, lai novērstu pārmērīgas sviras riskus, kā minēts DIREKTĪVAS 2013/36/ES 104.b pantā, izteikts procentos no kopējā riska darījumu vērtības mēra.</w:t>
            </w:r>
          </w:p>
          <w:p w14:paraId="1C4745E4" w14:textId="77777777" w:rsidR="00B70EBF" w:rsidRDefault="00780634" w:rsidP="00B70EBF">
            <w:pPr>
              <w:pStyle w:val="BodyText1"/>
              <w:spacing w:after="240" w:line="240" w:lineRule="auto"/>
              <w:rPr>
                <w:rFonts w:ascii="Times New Roman" w:hAnsi="Times New Roman"/>
                <w:bCs/>
                <w:color w:val="auto"/>
                <w:sz w:val="24"/>
                <w:szCs w:val="24"/>
              </w:rPr>
            </w:pPr>
            <w:r>
              <w:rPr>
                <w:rFonts w:ascii="Times New Roman" w:hAnsi="Times New Roman"/>
                <w:sz w:val="24"/>
              </w:rPr>
              <w:t>Iestādes aprēķina ii) punkta summu, dalot {0380;0010} ar {0300;0010}.</w:t>
            </w:r>
            <w:r>
              <w:rPr>
                <w:rFonts w:ascii="Times New Roman" w:hAnsi="Times New Roman"/>
                <w:color w:val="auto"/>
                <w:sz w:val="24"/>
              </w:rPr>
              <w:t xml:space="preserve"> </w:t>
            </w:r>
          </w:p>
          <w:p w14:paraId="6E55E37C" w14:textId="5108C444" w:rsidR="00136A9C" w:rsidRPr="000B66BC" w:rsidRDefault="00B70EBF"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 xml:space="preserve">Ja kompetentā iestāde nav paziņojusi </w:t>
            </w:r>
            <w:r>
              <w:rPr>
                <w:rFonts w:ascii="Times New Roman" w:hAnsi="Times New Roman"/>
                <w:i/>
                <w:iCs/>
                <w:color w:val="auto"/>
                <w:sz w:val="24"/>
              </w:rPr>
              <w:t>P2G</w:t>
            </w:r>
            <w:r>
              <w:rPr>
                <w:rFonts w:ascii="Times New Roman" w:hAnsi="Times New Roman"/>
                <w:color w:val="auto"/>
                <w:sz w:val="24"/>
              </w:rPr>
              <w:t>, uzrāda tikai i) punkta summu.</w:t>
            </w:r>
          </w:p>
        </w:tc>
      </w:tr>
      <w:tr w:rsidR="00E36E71" w:rsidRPr="00E75BB8" w14:paraId="680EF640"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BDF0E92" w14:textId="6C47A0CC" w:rsidR="00E36E71" w:rsidRPr="000B66BC" w:rsidRDefault="009573B2" w:rsidP="000B66BC">
            <w:pPr>
              <w:pStyle w:val="BodyText1"/>
              <w:spacing w:after="240"/>
              <w:rPr>
                <w:rFonts w:ascii="Times New Roman" w:hAnsi="Times New Roman"/>
                <w:bCs/>
                <w:sz w:val="24"/>
                <w:szCs w:val="24"/>
              </w:rPr>
            </w:pPr>
            <w:r>
              <w:rPr>
                <w:rFonts w:ascii="Times New Roman" w:hAnsi="Times New Roman"/>
                <w:sz w:val="24"/>
              </w:rPr>
              <w:lastRenderedPageBreak/>
              <w:t>{0460;0010}</w:t>
            </w:r>
          </w:p>
        </w:tc>
        <w:tc>
          <w:tcPr>
            <w:tcW w:w="7566" w:type="dxa"/>
            <w:tcBorders>
              <w:top w:val="single" w:sz="4" w:space="0" w:color="auto"/>
              <w:left w:val="single" w:sz="4" w:space="0" w:color="auto"/>
              <w:bottom w:val="single" w:sz="4" w:space="0" w:color="auto"/>
              <w:right w:val="single" w:sz="4" w:space="0" w:color="auto"/>
            </w:tcBorders>
            <w:vAlign w:val="center"/>
          </w:tcPr>
          <w:p w14:paraId="073EAF2A" w14:textId="3A51D2AA"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i/>
                <w:iCs/>
                <w:color w:val="auto"/>
                <w:sz w:val="24"/>
              </w:rPr>
              <w:t>OLRR</w:t>
            </w:r>
            <w:r>
              <w:rPr>
                <w:rFonts w:ascii="Times New Roman" w:hAnsi="Times New Roman"/>
                <w:b/>
                <w:color w:val="auto"/>
                <w:sz w:val="24"/>
              </w:rPr>
              <w:t xml:space="preserve"> un </w:t>
            </w:r>
            <w:r>
              <w:rPr>
                <w:rFonts w:ascii="Times New Roman" w:hAnsi="Times New Roman"/>
                <w:b/>
                <w:i/>
                <w:iCs/>
                <w:color w:val="auto"/>
                <w:sz w:val="24"/>
              </w:rPr>
              <w:t>P2G</w:t>
            </w:r>
            <w:r>
              <w:rPr>
                <w:rFonts w:ascii="Times New Roman" w:hAnsi="Times New Roman"/>
                <w:b/>
                <w:color w:val="auto"/>
                <w:sz w:val="24"/>
              </w:rPr>
              <w:t>: ko veido pirmā līmeņa pamata kapitāls</w:t>
            </w:r>
          </w:p>
          <w:p w14:paraId="76E51CBF" w14:textId="77777777" w:rsidR="00136A9C" w:rsidRPr="000B66BC" w:rsidRDefault="00136A9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Tā ir šo i) un ii) summa:</w:t>
            </w:r>
          </w:p>
          <w:p w14:paraId="4E8CC957" w14:textId="6092A4C3" w:rsidR="00136A9C" w:rsidRPr="000B66BC" w:rsidRDefault="00136A9C" w:rsidP="000B66BC">
            <w:pPr>
              <w:pStyle w:val="BodyText1"/>
              <w:numPr>
                <w:ilvl w:val="0"/>
                <w:numId w:val="30"/>
              </w:numPr>
              <w:spacing w:after="240" w:line="240" w:lineRule="auto"/>
              <w:rPr>
                <w:rFonts w:ascii="Times New Roman" w:hAnsi="Times New Roman"/>
                <w:color w:val="auto"/>
                <w:sz w:val="24"/>
                <w:szCs w:val="24"/>
              </w:rPr>
            </w:pPr>
            <w:r>
              <w:rPr>
                <w:rFonts w:ascii="Times New Roman" w:hAnsi="Times New Roman"/>
                <w:color w:val="auto"/>
                <w:sz w:val="24"/>
              </w:rPr>
              <w:t>papildu pašu kapitāla rādītāja daļa, kuru kompetentā iestāde pieprasa turēt kā pirmā līmeņa pamata kapitālu, ko uzrāda 0430. rindā;</w:t>
            </w:r>
          </w:p>
          <w:p w14:paraId="611A5895" w14:textId="6EB99D1C" w:rsidR="00136A9C" w:rsidRPr="000B66BC" w:rsidRDefault="00136A9C" w:rsidP="000B66BC">
            <w:pPr>
              <w:pStyle w:val="BodyText1"/>
              <w:numPr>
                <w:ilvl w:val="0"/>
                <w:numId w:val="30"/>
              </w:numPr>
              <w:spacing w:after="240" w:line="240" w:lineRule="auto"/>
              <w:rPr>
                <w:rFonts w:ascii="Times New Roman" w:hAnsi="Times New Roman"/>
                <w:color w:val="auto"/>
                <w:sz w:val="24"/>
                <w:szCs w:val="24"/>
              </w:rPr>
            </w:pPr>
            <w:r>
              <w:rPr>
                <w:rFonts w:ascii="Times New Roman" w:hAnsi="Times New Roman"/>
                <w:color w:val="auto"/>
                <w:sz w:val="24"/>
              </w:rPr>
              <w:t xml:space="preserve">punktā minētā </w:t>
            </w:r>
            <w:r>
              <w:rPr>
                <w:rFonts w:ascii="Times New Roman" w:hAnsi="Times New Roman"/>
                <w:i/>
                <w:iCs/>
                <w:color w:val="auto"/>
                <w:sz w:val="24"/>
              </w:rPr>
              <w:t>P2G</w:t>
            </w:r>
            <w:r>
              <w:rPr>
                <w:rFonts w:ascii="Times New Roman" w:hAnsi="Times New Roman"/>
                <w:color w:val="auto"/>
                <w:sz w:val="24"/>
              </w:rPr>
              <w:t xml:space="preserve"> rādītāja daļa 0450. rindā, par ko kompetentā iestāde paziņojusi, ka tā jātur pirmā līmeņa pamata kapitāla formā.</w:t>
            </w:r>
          </w:p>
          <w:p w14:paraId="30A327FA" w14:textId="77777777" w:rsidR="003E3C45" w:rsidRDefault="00780634" w:rsidP="003E3C45">
            <w:pPr>
              <w:pStyle w:val="BodyText1"/>
              <w:spacing w:after="240" w:line="240" w:lineRule="auto"/>
              <w:rPr>
                <w:rFonts w:ascii="Times New Roman" w:hAnsi="Times New Roman"/>
                <w:color w:val="auto"/>
                <w:sz w:val="24"/>
                <w:szCs w:val="24"/>
              </w:rPr>
            </w:pPr>
            <w:r>
              <w:rPr>
                <w:rFonts w:ascii="Times New Roman" w:hAnsi="Times New Roman"/>
                <w:sz w:val="24"/>
              </w:rPr>
              <w:t>Iestādes aprēķina ii) punkta summu, dalot {0390;0010} ar {0300;0010}.</w:t>
            </w:r>
            <w:r>
              <w:rPr>
                <w:rFonts w:ascii="Times New Roman" w:hAnsi="Times New Roman"/>
                <w:color w:val="auto"/>
                <w:sz w:val="24"/>
              </w:rPr>
              <w:t xml:space="preserve"> </w:t>
            </w:r>
          </w:p>
          <w:p w14:paraId="32685844" w14:textId="531CB8FD" w:rsidR="00E36E71" w:rsidRPr="000B66BC" w:rsidRDefault="003E3C45" w:rsidP="003E3C45">
            <w:pPr>
              <w:pStyle w:val="BodyText1"/>
              <w:spacing w:after="240" w:line="240" w:lineRule="auto"/>
              <w:rPr>
                <w:rFonts w:ascii="Times New Roman" w:hAnsi="Times New Roman"/>
                <w:b/>
                <w:color w:val="auto"/>
                <w:sz w:val="24"/>
                <w:szCs w:val="24"/>
              </w:rPr>
            </w:pPr>
            <w:r>
              <w:rPr>
                <w:rFonts w:ascii="Times New Roman" w:hAnsi="Times New Roman"/>
                <w:color w:val="auto"/>
                <w:sz w:val="24"/>
              </w:rPr>
              <w:t xml:space="preserve">Ja kompetentā iestāde nav paziņojusi </w:t>
            </w:r>
            <w:r>
              <w:rPr>
                <w:rFonts w:ascii="Times New Roman" w:hAnsi="Times New Roman"/>
                <w:i/>
                <w:iCs/>
                <w:color w:val="auto"/>
                <w:sz w:val="24"/>
              </w:rPr>
              <w:t>P2G</w:t>
            </w:r>
            <w:r>
              <w:rPr>
                <w:rFonts w:ascii="Times New Roman" w:hAnsi="Times New Roman"/>
                <w:color w:val="auto"/>
                <w:sz w:val="24"/>
              </w:rPr>
              <w:t>, uzrāda tikai i) punkta summu.</w:t>
            </w:r>
          </w:p>
        </w:tc>
      </w:tr>
      <w:tr w:rsidR="00E36E71" w:rsidRPr="00E75BB8" w14:paraId="5CCACDAA"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2109F561" w14:textId="5D20E85A" w:rsidR="00E36E71" w:rsidRPr="000B66BC" w:rsidRDefault="00A0709E" w:rsidP="000B66BC">
            <w:pPr>
              <w:pStyle w:val="BodyText1"/>
              <w:spacing w:after="240"/>
              <w:rPr>
                <w:rFonts w:ascii="Times New Roman" w:hAnsi="Times New Roman"/>
                <w:bCs/>
                <w:sz w:val="24"/>
                <w:szCs w:val="24"/>
              </w:rPr>
            </w:pPr>
            <w:r>
              <w:rPr>
                <w:rFonts w:ascii="Times New Roman" w:hAnsi="Times New Roman"/>
                <w:sz w:val="24"/>
              </w:rPr>
              <w:t>{0470;0010}</w:t>
            </w:r>
          </w:p>
        </w:tc>
        <w:tc>
          <w:tcPr>
            <w:tcW w:w="7566" w:type="dxa"/>
            <w:tcBorders>
              <w:top w:val="single" w:sz="4" w:space="0" w:color="auto"/>
              <w:left w:val="single" w:sz="4" w:space="0" w:color="auto"/>
              <w:bottom w:val="single" w:sz="4" w:space="0" w:color="auto"/>
              <w:right w:val="single" w:sz="4" w:space="0" w:color="auto"/>
            </w:tcBorders>
            <w:vAlign w:val="center"/>
          </w:tcPr>
          <w:p w14:paraId="161754F2" w14:textId="77777777"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i/>
                <w:iCs/>
                <w:color w:val="auto"/>
                <w:sz w:val="24"/>
              </w:rPr>
              <w:t>OLRR</w:t>
            </w:r>
            <w:r>
              <w:rPr>
                <w:rFonts w:ascii="Times New Roman" w:hAnsi="Times New Roman"/>
                <w:b/>
                <w:color w:val="auto"/>
                <w:sz w:val="24"/>
              </w:rPr>
              <w:t xml:space="preserve"> un </w:t>
            </w:r>
            <w:r>
              <w:rPr>
                <w:rFonts w:ascii="Times New Roman" w:hAnsi="Times New Roman"/>
                <w:b/>
                <w:i/>
                <w:iCs/>
                <w:color w:val="auto"/>
                <w:sz w:val="24"/>
              </w:rPr>
              <w:t>P2G</w:t>
            </w:r>
            <w:r>
              <w:rPr>
                <w:rFonts w:ascii="Times New Roman" w:hAnsi="Times New Roman"/>
                <w:b/>
                <w:color w:val="auto"/>
                <w:sz w:val="24"/>
              </w:rPr>
              <w:t>: ko veido pirmā līmeņa kapitāls</w:t>
            </w:r>
          </w:p>
          <w:p w14:paraId="7E7156A9" w14:textId="787E9B54" w:rsidR="00136A9C" w:rsidRPr="000B66BC" w:rsidRDefault="00136A9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Tā ir šo i), ii) un iii) summa:</w:t>
            </w:r>
          </w:p>
          <w:p w14:paraId="5D168708" w14:textId="116662AF" w:rsidR="00136A9C" w:rsidRPr="000B66BC" w:rsidRDefault="00843D9B" w:rsidP="000B66BC">
            <w:pPr>
              <w:pStyle w:val="BodyText1"/>
              <w:numPr>
                <w:ilvl w:val="0"/>
                <w:numId w:val="32"/>
              </w:numPr>
              <w:spacing w:after="240" w:line="240" w:lineRule="auto"/>
              <w:rPr>
                <w:rFonts w:ascii="Times New Roman" w:hAnsi="Times New Roman"/>
                <w:color w:val="auto"/>
                <w:sz w:val="24"/>
                <w:szCs w:val="24"/>
              </w:rPr>
            </w:pPr>
            <w:r>
              <w:rPr>
                <w:rFonts w:ascii="Times New Roman" w:hAnsi="Times New Roman"/>
                <w:color w:val="auto"/>
                <w:sz w:val="24"/>
              </w:rPr>
              <w:t xml:space="preserve">kopējā </w:t>
            </w:r>
            <w:r>
              <w:rPr>
                <w:rFonts w:ascii="Times New Roman" w:hAnsi="Times New Roman"/>
                <w:i/>
                <w:iCs/>
                <w:color w:val="auto"/>
                <w:sz w:val="24"/>
              </w:rPr>
              <w:t>SREP</w:t>
            </w:r>
            <w:r>
              <w:rPr>
                <w:rFonts w:ascii="Times New Roman" w:hAnsi="Times New Roman"/>
                <w:color w:val="auto"/>
                <w:sz w:val="24"/>
              </w:rPr>
              <w:t xml:space="preserve"> sviras rādītāja prasība, ko uzrāda 0420. rindā;</w:t>
            </w:r>
          </w:p>
          <w:p w14:paraId="44471EA4" w14:textId="37A3F29A" w:rsidR="00843D9B" w:rsidRPr="000B66BC" w:rsidRDefault="00843D9B" w:rsidP="000B66BC">
            <w:pPr>
              <w:pStyle w:val="ListParagraph"/>
              <w:numPr>
                <w:ilvl w:val="0"/>
                <w:numId w:val="32"/>
              </w:numPr>
              <w:spacing w:after="240"/>
              <w:rPr>
                <w:rFonts w:ascii="Times New Roman" w:hAnsi="Times New Roman"/>
                <w:sz w:val="24"/>
              </w:rPr>
            </w:pPr>
            <w:r>
              <w:rPr>
                <w:rFonts w:ascii="Times New Roman" w:hAnsi="Times New Roman"/>
                <w:sz w:val="24"/>
              </w:rPr>
              <w:t>G-SNI sviras rādītāja rezerves saskaņā ar Regulas (ES) Nr. 575/2013 92. panta 1.a punktu, kas izteiktas procentos no kopējā riska darījumu vērtības mēra.</w:t>
            </w:r>
          </w:p>
          <w:p w14:paraId="776F4028" w14:textId="5132AE58" w:rsidR="00136A9C" w:rsidRPr="000B66BC" w:rsidRDefault="00136A9C" w:rsidP="000B66BC">
            <w:pPr>
              <w:pStyle w:val="BodyText1"/>
              <w:numPr>
                <w:ilvl w:val="0"/>
                <w:numId w:val="32"/>
              </w:numPr>
              <w:spacing w:after="240" w:line="240" w:lineRule="auto"/>
              <w:rPr>
                <w:rFonts w:ascii="Times New Roman" w:hAnsi="Times New Roman"/>
                <w:color w:val="auto"/>
                <w:sz w:val="24"/>
                <w:szCs w:val="24"/>
              </w:rPr>
            </w:pPr>
            <w:r>
              <w:rPr>
                <w:rFonts w:ascii="Times New Roman" w:hAnsi="Times New Roman"/>
                <w:color w:val="auto"/>
                <w:sz w:val="24"/>
              </w:rPr>
              <w:t xml:space="preserve">punktā minētā </w:t>
            </w:r>
            <w:r>
              <w:rPr>
                <w:rFonts w:ascii="Times New Roman" w:hAnsi="Times New Roman"/>
                <w:i/>
                <w:iCs/>
                <w:color w:val="auto"/>
                <w:sz w:val="24"/>
              </w:rPr>
              <w:t>P2G</w:t>
            </w:r>
            <w:r>
              <w:rPr>
                <w:rFonts w:ascii="Times New Roman" w:hAnsi="Times New Roman"/>
                <w:color w:val="auto"/>
                <w:sz w:val="24"/>
              </w:rPr>
              <w:t xml:space="preserve"> rādītāja daļa 0450. rindā, ko kompetentā iestāde pieprasījusi turēt pirmā līmeņa pamata kapitāla formā.</w:t>
            </w:r>
          </w:p>
          <w:p w14:paraId="26F19755" w14:textId="77777777" w:rsidR="003E3C45" w:rsidRPr="000B66BC" w:rsidRDefault="003E3C45" w:rsidP="003E3C45">
            <w:pPr>
              <w:pStyle w:val="BodyText1"/>
              <w:spacing w:after="240" w:line="240" w:lineRule="auto"/>
              <w:rPr>
                <w:rFonts w:ascii="Times New Roman" w:hAnsi="Times New Roman"/>
                <w:color w:val="auto"/>
                <w:sz w:val="24"/>
                <w:szCs w:val="24"/>
              </w:rPr>
            </w:pPr>
            <w:r>
              <w:rPr>
                <w:rFonts w:ascii="Times New Roman" w:hAnsi="Times New Roman"/>
                <w:sz w:val="24"/>
              </w:rPr>
              <w:t>Iestādes aprēķina ii) punkta summu, dalot {0370;0010} ar {0300;0010}.</w:t>
            </w:r>
          </w:p>
          <w:p w14:paraId="2313052B" w14:textId="77777777" w:rsidR="003E3C45" w:rsidRDefault="003E3C45" w:rsidP="003E3C45">
            <w:pPr>
              <w:pStyle w:val="BodyText1"/>
              <w:spacing w:after="240" w:line="240" w:lineRule="auto"/>
              <w:rPr>
                <w:rFonts w:ascii="Times New Roman" w:hAnsi="Times New Roman"/>
                <w:bCs/>
                <w:sz w:val="24"/>
                <w:szCs w:val="24"/>
              </w:rPr>
            </w:pPr>
            <w:r>
              <w:rPr>
                <w:rFonts w:ascii="Times New Roman" w:hAnsi="Times New Roman"/>
                <w:sz w:val="24"/>
              </w:rPr>
              <w:t>Iestādes aprēķina iii) punkta summu, dalot {0400;0010} ar {0300;0010}.</w:t>
            </w:r>
          </w:p>
          <w:p w14:paraId="6BF7BD0F" w14:textId="49D247A3" w:rsidR="00843D9B" w:rsidRPr="000B66BC" w:rsidRDefault="00843D9B" w:rsidP="003E3C45">
            <w:pPr>
              <w:pStyle w:val="BodyText1"/>
              <w:spacing w:after="240" w:line="240" w:lineRule="auto"/>
              <w:rPr>
                <w:rFonts w:ascii="Times New Roman" w:hAnsi="Times New Roman"/>
                <w:bCs/>
                <w:color w:val="auto"/>
                <w:sz w:val="24"/>
                <w:szCs w:val="24"/>
              </w:rPr>
            </w:pPr>
            <w:r>
              <w:rPr>
                <w:rFonts w:ascii="Times New Roman" w:hAnsi="Times New Roman"/>
                <w:color w:val="auto"/>
                <w:sz w:val="24"/>
              </w:rPr>
              <w:t>Ja G-SNI palielinājums nav piemērojams, uzrāda tikai i) un iii) punkta summu.</w:t>
            </w:r>
          </w:p>
          <w:p w14:paraId="784A7DD8" w14:textId="6852D82B" w:rsidR="00E36E71" w:rsidRPr="000B66BC" w:rsidRDefault="00136A9C" w:rsidP="003E3C45">
            <w:pPr>
              <w:pStyle w:val="BodyText1"/>
              <w:spacing w:after="240" w:line="240" w:lineRule="auto"/>
              <w:rPr>
                <w:rFonts w:ascii="Times New Roman" w:hAnsi="Times New Roman"/>
                <w:b/>
                <w:color w:val="auto"/>
                <w:sz w:val="24"/>
                <w:szCs w:val="24"/>
              </w:rPr>
            </w:pPr>
            <w:r>
              <w:rPr>
                <w:rFonts w:ascii="Times New Roman" w:hAnsi="Times New Roman"/>
                <w:color w:val="auto"/>
                <w:sz w:val="24"/>
              </w:rPr>
              <w:t xml:space="preserve">Ja kompetentā iestāde nav paziņojusi </w:t>
            </w:r>
            <w:r>
              <w:rPr>
                <w:rFonts w:ascii="Times New Roman" w:hAnsi="Times New Roman"/>
                <w:i/>
                <w:iCs/>
                <w:color w:val="auto"/>
                <w:sz w:val="24"/>
              </w:rPr>
              <w:t>P2G</w:t>
            </w:r>
            <w:r>
              <w:rPr>
                <w:rFonts w:ascii="Times New Roman" w:hAnsi="Times New Roman"/>
                <w:color w:val="auto"/>
                <w:sz w:val="24"/>
              </w:rPr>
              <w:t>, uzrāda tikai i) un ii) punkta summu.</w:t>
            </w:r>
          </w:p>
        </w:tc>
      </w:tr>
      <w:tr w:rsidR="00E524FC" w:rsidRPr="00E75BB8" w14:paraId="601424AF"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BFD45C" w14:textId="1021D484" w:rsidR="00E524FC" w:rsidRPr="000B66BC" w:rsidRDefault="00E524FC" w:rsidP="000B66BC">
            <w:pPr>
              <w:pStyle w:val="BodyText1"/>
              <w:spacing w:after="240"/>
              <w:rPr>
                <w:rFonts w:ascii="Times New Roman" w:hAnsi="Times New Roman"/>
                <w:bCs/>
                <w:sz w:val="24"/>
                <w:szCs w:val="24"/>
              </w:rPr>
            </w:pPr>
            <w:r>
              <w:rPr>
                <w:rFonts w:ascii="Times New Roman" w:hAnsi="Times New Roman"/>
                <w:b/>
                <w:sz w:val="24"/>
              </w:rPr>
              <w:lastRenderedPageBreak/>
              <w:t>Rinda un sleja</w:t>
            </w:r>
          </w:p>
        </w:tc>
        <w:tc>
          <w:tcPr>
            <w:tcW w:w="75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42BB32" w14:textId="77777777"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Izziņas posteņi</w:t>
            </w:r>
          </w:p>
        </w:tc>
      </w:tr>
      <w:tr w:rsidR="00E524FC" w:rsidRPr="00E75BB8" w14:paraId="66E51847"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7FD03E43" w14:textId="3C27850E" w:rsidR="00E524FC" w:rsidRPr="000B66BC" w:rsidRDefault="00E524FC" w:rsidP="000B66BC">
            <w:pPr>
              <w:pStyle w:val="BodyText1"/>
              <w:spacing w:after="240"/>
              <w:rPr>
                <w:rFonts w:ascii="Times New Roman" w:hAnsi="Times New Roman"/>
                <w:bCs/>
                <w:sz w:val="24"/>
                <w:szCs w:val="24"/>
              </w:rPr>
            </w:pPr>
          </w:p>
        </w:tc>
        <w:tc>
          <w:tcPr>
            <w:tcW w:w="7566" w:type="dxa"/>
            <w:tcBorders>
              <w:top w:val="single" w:sz="4" w:space="0" w:color="auto"/>
              <w:left w:val="single" w:sz="4" w:space="0" w:color="auto"/>
              <w:bottom w:val="single" w:sz="4" w:space="0" w:color="auto"/>
              <w:right w:val="single" w:sz="4" w:space="0" w:color="auto"/>
            </w:tcBorders>
            <w:vAlign w:val="center"/>
          </w:tcPr>
          <w:p w14:paraId="7576BAB1" w14:textId="7D3F954D" w:rsidR="00E524FC" w:rsidRPr="000B66BC" w:rsidRDefault="009339A2" w:rsidP="000B66BC">
            <w:pPr>
              <w:pStyle w:val="BodyText1"/>
              <w:spacing w:after="240" w:line="240" w:lineRule="auto"/>
              <w:rPr>
                <w:rFonts w:ascii="Times New Roman" w:hAnsi="Times New Roman"/>
                <w:b/>
                <w:color w:val="auto"/>
                <w:sz w:val="24"/>
                <w:szCs w:val="24"/>
              </w:rPr>
            </w:pPr>
            <w:r>
              <w:rPr>
                <w:rFonts w:ascii="Times New Roman" w:hAnsi="Times New Roman"/>
                <w:sz w:val="24"/>
              </w:rPr>
              <w:t xml:space="preserve"> Regula (ES) Nr. 575/2013, Regula (ES) Nr. 575/2013</w:t>
            </w:r>
            <w:r>
              <w:rPr>
                <w:rFonts w:ascii="Times New Roman" w:hAnsi="Times New Roman"/>
                <w:color w:val="auto"/>
                <w:sz w:val="24"/>
              </w:rPr>
              <w:t xml:space="preserve"> </w:t>
            </w:r>
          </w:p>
        </w:tc>
      </w:tr>
      <w:tr w:rsidR="00E524FC" w:rsidRPr="00E75BB8" w14:paraId="12DDA6F6"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7DE13EEB" w14:textId="7EBFE2F4" w:rsidR="00E524FC" w:rsidRPr="000B66BC" w:rsidRDefault="00E524FC" w:rsidP="000B66BC">
            <w:pPr>
              <w:pStyle w:val="BodyText1"/>
              <w:spacing w:after="240"/>
              <w:rPr>
                <w:rFonts w:ascii="Times New Roman" w:hAnsi="Times New Roman"/>
                <w:bCs/>
                <w:sz w:val="24"/>
                <w:szCs w:val="24"/>
              </w:rPr>
            </w:pPr>
            <w:r>
              <w:rPr>
                <w:rFonts w:ascii="Times New Roman" w:hAnsi="Times New Roman"/>
                <w:sz w:val="24"/>
              </w:rPr>
              <w:t>{0490;0010}</w:t>
            </w:r>
          </w:p>
        </w:tc>
        <w:tc>
          <w:tcPr>
            <w:tcW w:w="7566" w:type="dxa"/>
            <w:tcBorders>
              <w:top w:val="single" w:sz="4" w:space="0" w:color="auto"/>
              <w:left w:val="single" w:sz="4" w:space="0" w:color="auto"/>
              <w:bottom w:val="single" w:sz="4" w:space="0" w:color="auto"/>
              <w:right w:val="single" w:sz="4" w:space="0" w:color="auto"/>
            </w:tcBorders>
            <w:vAlign w:val="center"/>
          </w:tcPr>
          <w:p w14:paraId="4537C97D" w14:textId="7B6565CA"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Sviras rādītājs, kāds tas būtu, ja nebūtu piemērots pagaidu režīms attiecībā uz nerealizēto peļņu un zaudējumiem, kas novērtēti patiesajā vērtībā ar atspoguļojumu pārējos apvienotajos ienākumos</w:t>
            </w:r>
          </w:p>
          <w:p w14:paraId="22FC70A7" w14:textId="0B4FA8B5" w:rsidR="00E524FC" w:rsidRPr="000B66BC" w:rsidRDefault="00E524FC" w:rsidP="000B66BC">
            <w:pPr>
              <w:pStyle w:val="BodyText1"/>
              <w:spacing w:after="240" w:line="240" w:lineRule="auto"/>
              <w:rPr>
                <w:rFonts w:ascii="Times New Roman" w:hAnsi="Times New Roman"/>
                <w:color w:val="auto"/>
                <w:sz w:val="24"/>
                <w:szCs w:val="24"/>
              </w:rPr>
            </w:pPr>
            <w:r>
              <w:rPr>
                <w:rFonts w:ascii="Times New Roman" w:hAnsi="Times New Roman"/>
                <w:sz w:val="24"/>
              </w:rPr>
              <w:t>Regulas (ES) Nr. 575/2013 468. panta 5. punkts.</w:t>
            </w:r>
          </w:p>
          <w:p w14:paraId="787A9CC8" w14:textId="0A07D371"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sz w:val="24"/>
              </w:rPr>
              <w:t>Iestādes, kas nolēmušas piemērot Regulas (ES) Nr. 575/2013 468. panta 1. punktā noteikto pagaidu režīmu, uzrāda sviras rādītāju, kāds tām būtu, ja tās nepiemērotu minēto režīmu.</w:t>
            </w:r>
          </w:p>
        </w:tc>
      </w:tr>
    </w:tbl>
    <w:p w14:paraId="6B40D8E2" w14:textId="77777777" w:rsidR="00AE2798" w:rsidRPr="000B66BC" w:rsidRDefault="00AE2798" w:rsidP="000B66BC">
      <w:pPr>
        <w:pStyle w:val="BodyText1"/>
        <w:spacing w:after="240"/>
        <w:rPr>
          <w:rFonts w:ascii="Times New Roman" w:hAnsi="Times New Roman"/>
          <w:sz w:val="24"/>
          <w:szCs w:val="24"/>
        </w:rPr>
      </w:pPr>
    </w:p>
    <w:p w14:paraId="794CE395" w14:textId="173F43D2" w:rsidR="00700DA6" w:rsidRPr="000B66BC" w:rsidRDefault="005F4574" w:rsidP="000B66BC">
      <w:pPr>
        <w:pStyle w:val="BodyText1"/>
        <w:spacing w:after="240"/>
        <w:ind w:left="357" w:hanging="357"/>
        <w:outlineLvl w:val="1"/>
        <w:rPr>
          <w:rFonts w:ascii="Times New Roman" w:hAnsi="Times New Roman"/>
          <w:b/>
          <w:sz w:val="24"/>
          <w:szCs w:val="24"/>
        </w:rPr>
      </w:pPr>
      <w:bookmarkStart w:id="53" w:name="_Toc351048507"/>
      <w:bookmarkStart w:id="54" w:name="_Toc359414286"/>
      <w:bookmarkStart w:id="55" w:name="_Toc423089071"/>
      <w:bookmarkStart w:id="56" w:name="_Toc188889282"/>
      <w:r>
        <w:rPr>
          <w:rFonts w:ascii="Times New Roman" w:hAnsi="Times New Roman"/>
          <w:b/>
          <w:sz w:val="24"/>
        </w:rPr>
        <w:t>4.</w:t>
      </w:r>
      <w:r>
        <w:rPr>
          <w:rFonts w:ascii="Times New Roman" w:hAnsi="Times New Roman"/>
          <w:b/>
          <w:sz w:val="24"/>
        </w:rPr>
        <w:tab/>
        <w:t>C 40.00 – Riska darījumu vērtības mēram piemērotā alternatīvā procedūra</w:t>
      </w:r>
      <w:bookmarkEnd w:id="50"/>
      <w:bookmarkEnd w:id="53"/>
      <w:bookmarkEnd w:id="54"/>
      <w:r>
        <w:rPr>
          <w:rFonts w:ascii="Times New Roman" w:hAnsi="Times New Roman"/>
          <w:b/>
          <w:sz w:val="24"/>
        </w:rPr>
        <w:t xml:space="preserve"> (LR1)</w:t>
      </w:r>
      <w:bookmarkEnd w:id="55"/>
      <w:bookmarkEnd w:id="56"/>
    </w:p>
    <w:p w14:paraId="0FB337CA" w14:textId="47825928"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20.</w:t>
      </w:r>
      <w:r>
        <w:rPr>
          <w:rFonts w:ascii="Times New Roman" w:hAnsi="Times New Roman"/>
          <w:sz w:val="24"/>
        </w:rPr>
        <w:tab/>
        <w:t xml:space="preserve">Šajā pārskata daļā tiek apkopoti dati par alternatīvo procedūru attiecībā uz atvasinātajiem instrumentiem, VFD, ārpusbilances posteņiem, atbrīvotiem publiskā sektora ieguldījumiem un atbrīvotiem riska darījumiem ar attīstību veicinošiem aizdevumiem. </w:t>
      </w:r>
    </w:p>
    <w:p w14:paraId="0801E40E" w14:textId="6947458E"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21.</w:t>
      </w:r>
      <w:r>
        <w:rPr>
          <w:rFonts w:ascii="Times New Roman" w:hAnsi="Times New Roman"/>
          <w:sz w:val="24"/>
        </w:rPr>
        <w:tab/>
        <w:t xml:space="preserve">“Grāmatvedības bilances vērtības” LR1 veidnē iestādes nosaka, pamatojoties uz piemērojamo grāmatvedības regulējumu saskaņā ar Regulas (ES) Nr. 575/2013 4. panta 1. punkta 77) apakšpunktu. “Uzskaites vērtība, pieņemot, ka nav savstarpējo prasījumu ieskaita vai citas KRM” attiecas uz grāmatvedības bilances vērtību, neņemot vērā jebkādu savstarpējo prasījumu ieskaita vai citas kredītriska mazināšanas ietekmi. </w:t>
      </w:r>
    </w:p>
    <w:p w14:paraId="6A1F4290" w14:textId="4A3B06AA" w:rsidR="005556DC"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22.</w:t>
      </w:r>
      <w:r>
        <w:rPr>
          <w:rFonts w:ascii="Times New Roman" w:hAnsi="Times New Roman"/>
          <w:sz w:val="24"/>
        </w:rPr>
        <w:tab/>
        <w:t xml:space="preserve">Iestādes uzrāda LR1 posteņus tā, it kā nebūtu piemērojami posteņi ar negatīvu zīmi </w:t>
      </w:r>
      <w:proofErr w:type="spellStart"/>
      <w:r>
        <w:rPr>
          <w:rFonts w:ascii="Times New Roman" w:hAnsi="Times New Roman"/>
          <w:sz w:val="24"/>
        </w:rPr>
        <w:t>LRCalc</w:t>
      </w:r>
      <w:proofErr w:type="spellEnd"/>
      <w:r>
        <w:rPr>
          <w:rFonts w:ascii="Times New Roman" w:hAnsi="Times New Roman"/>
          <w:sz w:val="24"/>
        </w:rPr>
        <w:t xml:space="preserve"> veidnē (piemēram, atbrīvojumi/atskaitījumi) saskaņā ar zīmju konvenciju šā pielikuma I daļas 9. punktā, izņemot {0270;0010} un {0280;0010}.</w:t>
      </w:r>
    </w:p>
    <w:p w14:paraId="3B5DA19A" w14:textId="314820A5" w:rsidR="00201643" w:rsidRPr="000B66BC" w:rsidRDefault="00201643"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23.</w:t>
      </w:r>
      <w:r>
        <w:rPr>
          <w:rFonts w:ascii="Times New Roman" w:hAnsi="Times New Roman"/>
          <w:sz w:val="24"/>
        </w:rPr>
        <w:tab/>
        <w:t xml:space="preserve">Kopējos </w:t>
      </w:r>
      <w:proofErr w:type="spellStart"/>
      <w:r>
        <w:rPr>
          <w:rFonts w:ascii="Times New Roman" w:hAnsi="Times New Roman"/>
          <w:sz w:val="24"/>
        </w:rPr>
        <w:t>aktīvux</w:t>
      </w:r>
      <w:proofErr w:type="spellEnd"/>
      <w:r>
        <w:rPr>
          <w:rFonts w:ascii="Times New Roman" w:hAnsi="Times New Roman"/>
          <w:sz w:val="24"/>
        </w:rPr>
        <w:t xml:space="preserve"> veidnē ({0410.r.; 0010.s.}) uzrāda tikai:</w:t>
      </w:r>
    </w:p>
    <w:p w14:paraId="120D67B7" w14:textId="7350FC6D"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rPr>
        <w:t xml:space="preserve">lielas iestādes, kas ir G-SNI vai ir emitējušas vērtspapīrus, kurus atļauts tirgot regulētā tirgū, – reizi pusgadā, </w:t>
      </w:r>
    </w:p>
    <w:p w14:paraId="275097FF" w14:textId="4F3F0B8E"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rPr>
        <w:t>lielas iestādes, kas nav G-SNI un kas nav biržas sarakstā iekļautas iestādes, – reizi gadā,</w:t>
      </w:r>
    </w:p>
    <w:p w14:paraId="59E3D42C" w14:textId="4C664B3D"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rPr>
        <w:t xml:space="preserve">citas iestādes, kas nav lielas iestādes, un mazas un nesarežģītas iestādes, kuras ir emitējušas vērtspapīrus, kurus atļauts tirgot regulētā tirgū, – reizi gadā. </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E75BB8" w14:paraId="26421155" w14:textId="77777777" w:rsidTr="00C7202A">
        <w:tc>
          <w:tcPr>
            <w:tcW w:w="1418" w:type="dxa"/>
            <w:shd w:val="clear" w:color="auto" w:fill="D9D9D9" w:themeFill="background1" w:themeFillShade="D9"/>
          </w:tcPr>
          <w:p w14:paraId="08FB450D" w14:textId="524E5AB8" w:rsidR="00F4754B" w:rsidRPr="000B66BC" w:rsidRDefault="00F4754B" w:rsidP="000B66BC">
            <w:pPr>
              <w:pStyle w:val="BodyText1"/>
              <w:spacing w:after="240"/>
              <w:rPr>
                <w:rFonts w:ascii="Times New Roman" w:hAnsi="Times New Roman"/>
                <w:b/>
                <w:sz w:val="24"/>
                <w:szCs w:val="24"/>
              </w:rPr>
            </w:pPr>
            <w:r>
              <w:rPr>
                <w:rFonts w:ascii="Times New Roman" w:hAnsi="Times New Roman"/>
                <w:b/>
                <w:sz w:val="24"/>
              </w:rPr>
              <w:t>Rinda un sleja</w:t>
            </w:r>
          </w:p>
        </w:tc>
        <w:tc>
          <w:tcPr>
            <w:tcW w:w="7620" w:type="dxa"/>
            <w:shd w:val="clear" w:color="auto" w:fill="D9D9D9" w:themeFill="background1" w:themeFillShade="D9"/>
          </w:tcPr>
          <w:p w14:paraId="2A94B720"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Atsauces uz tiesību aktu noteikumiem un norādījumi</w:t>
            </w:r>
          </w:p>
        </w:tc>
      </w:tr>
      <w:tr w:rsidR="00F4754B" w:rsidRPr="00E75BB8" w14:paraId="361F248A" w14:textId="77777777" w:rsidTr="00776650">
        <w:tc>
          <w:tcPr>
            <w:tcW w:w="1418" w:type="dxa"/>
          </w:tcPr>
          <w:p w14:paraId="4F9FA107" w14:textId="57BE6A8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{0010;0010}</w:t>
            </w:r>
          </w:p>
        </w:tc>
        <w:tc>
          <w:tcPr>
            <w:tcW w:w="7620" w:type="dxa"/>
          </w:tcPr>
          <w:p w14:paraId="39F15765" w14:textId="77777777" w:rsidR="00F4754B" w:rsidRPr="000B66BC" w:rsidRDefault="00F4754B" w:rsidP="000B66BC">
            <w:pPr>
              <w:pStyle w:val="BodyText1"/>
              <w:spacing w:after="240" w:line="240" w:lineRule="auto"/>
              <w:rPr>
                <w:rFonts w:ascii="Times New Roman" w:hAnsi="Times New Roman"/>
                <w:bCs/>
                <w:sz w:val="24"/>
                <w:szCs w:val="24"/>
                <w:u w:val="single"/>
              </w:rPr>
            </w:pPr>
            <w:r>
              <w:rPr>
                <w:rFonts w:ascii="Times New Roman" w:hAnsi="Times New Roman"/>
                <w:b/>
                <w:sz w:val="24"/>
              </w:rPr>
              <w:t>Atvasinātie instrumenti – grāmatvedības bilances vērtība</w:t>
            </w:r>
          </w:p>
          <w:p w14:paraId="7F9C9C25" w14:textId="151D2509" w:rsidR="000A6437"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Tā ir summa, ko veido {0020;010}, {0050;0010} un {0060;0010}.</w:t>
            </w:r>
          </w:p>
        </w:tc>
      </w:tr>
      <w:tr w:rsidR="00F4754B" w:rsidRPr="00E75BB8" w14:paraId="1D231FFA" w14:textId="77777777" w:rsidTr="00776650">
        <w:tc>
          <w:tcPr>
            <w:tcW w:w="1418" w:type="dxa"/>
          </w:tcPr>
          <w:p w14:paraId="63C98797" w14:textId="06C6C9DC"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{0010;0020}</w:t>
            </w:r>
          </w:p>
        </w:tc>
        <w:tc>
          <w:tcPr>
            <w:tcW w:w="7620" w:type="dxa"/>
          </w:tcPr>
          <w:p w14:paraId="4563944E"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Atvasinātie instrumenti – uzskaites vērtība, pieņemot, ka nav savstarpējo prasījumu ieskaita vai citas KRM</w:t>
            </w:r>
          </w:p>
          <w:p w14:paraId="7E68FF9D" w14:textId="3AAE9DFF" w:rsidR="00FF3AC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Tā ir summa, ko veido {0020;0020}, {0050;0020} un {0060;0020}.</w:t>
            </w:r>
          </w:p>
        </w:tc>
      </w:tr>
      <w:tr w:rsidR="00F4754B" w:rsidRPr="00E75BB8" w14:paraId="56F668DB" w14:textId="77777777" w:rsidTr="00776650">
        <w:tc>
          <w:tcPr>
            <w:tcW w:w="1418" w:type="dxa"/>
          </w:tcPr>
          <w:p w14:paraId="678E69B3" w14:textId="4CB76640"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{0010;0070}</w:t>
            </w:r>
          </w:p>
        </w:tc>
        <w:tc>
          <w:tcPr>
            <w:tcW w:w="7620" w:type="dxa"/>
          </w:tcPr>
          <w:p w14:paraId="5D79D47D"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Atvasinātie instrumenti – nosacītā summa</w:t>
            </w:r>
          </w:p>
          <w:p w14:paraId="2AECBC09" w14:textId="2F33E455" w:rsidR="00F4754B"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Tā ir summa, ko veido {0020;0070}, {0050;0070} un {0060;0070}.</w:t>
            </w:r>
          </w:p>
        </w:tc>
      </w:tr>
      <w:tr w:rsidR="00F4754B" w:rsidRPr="00E75BB8" w14:paraId="6B45BB27" w14:textId="77777777" w:rsidTr="00776650">
        <w:tc>
          <w:tcPr>
            <w:tcW w:w="1418" w:type="dxa"/>
          </w:tcPr>
          <w:p w14:paraId="46216D41" w14:textId="7412E93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{0020;0010}</w:t>
            </w:r>
          </w:p>
        </w:tc>
        <w:tc>
          <w:tcPr>
            <w:tcW w:w="7620" w:type="dxa"/>
          </w:tcPr>
          <w:p w14:paraId="0B692C56"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Kredītu atvasinātie instrumenti (pārdotā aizsardzība) – grāmatvedības bilances vērtība</w:t>
            </w:r>
          </w:p>
          <w:p w14:paraId="0232A08C" w14:textId="557B887D" w:rsidR="00F4754B" w:rsidRPr="000B66BC" w:rsidRDefault="006D6827" w:rsidP="003E3C45">
            <w:pPr>
              <w:pStyle w:val="BodyText1"/>
              <w:spacing w:after="240" w:line="240" w:lineRule="auto"/>
              <w:rPr>
                <w:rFonts w:ascii="Times New Roman" w:hAnsi="Times New Roman"/>
                <w:b/>
                <w:bCs/>
                <w:sz w:val="24"/>
                <w:szCs w:val="24"/>
                <w:u w:val="single"/>
              </w:rPr>
            </w:pPr>
            <w:r>
              <w:rPr>
                <w:rFonts w:ascii="Times New Roman" w:hAnsi="Times New Roman"/>
                <w:sz w:val="24"/>
              </w:rPr>
              <w:t xml:space="preserve">Regulas (ES) Nr. 575/2013 4. panta 1. punkta 77) apakšpunkts kredītu atvasināto instrumentu grāmatvedības bilances vērtība saskaņā ar piemērojamo grāmatvedības regulējumu, ja iestāde pārdod </w:t>
            </w:r>
            <w:proofErr w:type="spellStart"/>
            <w:r>
              <w:rPr>
                <w:rFonts w:ascii="Times New Roman" w:hAnsi="Times New Roman"/>
                <w:sz w:val="24"/>
              </w:rPr>
              <w:t>kredītaizsardzību</w:t>
            </w:r>
            <w:proofErr w:type="spellEnd"/>
            <w:r>
              <w:rPr>
                <w:rFonts w:ascii="Times New Roman" w:hAnsi="Times New Roman"/>
                <w:sz w:val="24"/>
              </w:rPr>
              <w:t xml:space="preserve"> darījuma partnerim un līgumu atzīst par aktīvu bilancē.</w:t>
            </w:r>
          </w:p>
        </w:tc>
      </w:tr>
      <w:tr w:rsidR="00F4754B" w:rsidRPr="00E75BB8" w14:paraId="78089643" w14:textId="77777777" w:rsidTr="00776650">
        <w:tc>
          <w:tcPr>
            <w:tcW w:w="1418" w:type="dxa"/>
          </w:tcPr>
          <w:p w14:paraId="6D29AC05" w14:textId="21326B21"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{0020;0020}</w:t>
            </w:r>
          </w:p>
        </w:tc>
        <w:tc>
          <w:tcPr>
            <w:tcW w:w="7620" w:type="dxa"/>
          </w:tcPr>
          <w:p w14:paraId="47C4979D" w14:textId="1C2E617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sz w:val="24"/>
              </w:rPr>
              <w:t>Kredītu atvasinātie instrumenti (pārdotā aizsardzība) – uzskaites vērtība, pieņemot, ka nav savstarpējo prasījumu ieskaita vai citas KRM</w:t>
            </w:r>
          </w:p>
          <w:p w14:paraId="379F5EE7" w14:textId="7F30105A" w:rsidR="00F4754B" w:rsidRPr="000B66BC" w:rsidRDefault="006D6827" w:rsidP="003E3C45">
            <w:pPr>
              <w:pStyle w:val="BodyText1"/>
              <w:spacing w:after="240" w:line="240" w:lineRule="auto"/>
              <w:rPr>
                <w:rFonts w:ascii="Times New Roman" w:hAnsi="Times New Roman"/>
                <w:b/>
                <w:bCs/>
                <w:sz w:val="24"/>
                <w:szCs w:val="24"/>
                <w:u w:val="single"/>
              </w:rPr>
            </w:pPr>
            <w:r>
              <w:rPr>
                <w:rFonts w:ascii="Times New Roman" w:hAnsi="Times New Roman"/>
                <w:sz w:val="24"/>
              </w:rPr>
              <w:t xml:space="preserve">Regulas (ES) Nr. 575/2013 4. panta 1. punkta 77) apakšpunkts kredītu atvasināto instrumentu grāmatvedības bilances vērtība saskaņā ar piemērojamo grāmatvedības regulējumu, ja iestāde pārdod </w:t>
            </w:r>
            <w:proofErr w:type="spellStart"/>
            <w:r>
              <w:rPr>
                <w:rFonts w:ascii="Times New Roman" w:hAnsi="Times New Roman"/>
                <w:sz w:val="24"/>
              </w:rPr>
              <w:t>kredītaizsardzību</w:t>
            </w:r>
            <w:proofErr w:type="spellEnd"/>
            <w:r>
              <w:rPr>
                <w:rFonts w:ascii="Times New Roman" w:hAnsi="Times New Roman"/>
                <w:sz w:val="24"/>
              </w:rPr>
              <w:t xml:space="preserve"> darījuma partnerim un līgumu atzīst par aktīvu bilancē, pieņemot, ka nav </w:t>
            </w:r>
            <w:proofErr w:type="spellStart"/>
            <w:r>
              <w:rPr>
                <w:rFonts w:ascii="Times New Roman" w:hAnsi="Times New Roman"/>
                <w:sz w:val="24"/>
              </w:rPr>
              <w:t>prudenciālā</w:t>
            </w:r>
            <w:proofErr w:type="spellEnd"/>
            <w:r>
              <w:rPr>
                <w:rFonts w:ascii="Times New Roman" w:hAnsi="Times New Roman"/>
                <w:sz w:val="24"/>
              </w:rPr>
              <w:t xml:space="preserve"> vai grāmatvedības savstarpējo prasījumu ieskaita vai citas KRM ietekmes (proti, apvērš jebkādu grāmatvedības savstarpējo prasījumu ieskaita vai KRM ietekmi, kas ietekmējusi uzskaites vērtību).</w:t>
            </w:r>
          </w:p>
        </w:tc>
      </w:tr>
      <w:tr w:rsidR="00F4754B" w:rsidRPr="00E75BB8" w14:paraId="6F14FFAF" w14:textId="77777777" w:rsidTr="00776650">
        <w:tc>
          <w:tcPr>
            <w:tcW w:w="1418" w:type="dxa"/>
          </w:tcPr>
          <w:p w14:paraId="7C797A14" w14:textId="4C6AAC2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{0020;0070}</w:t>
            </w:r>
          </w:p>
        </w:tc>
        <w:tc>
          <w:tcPr>
            <w:tcW w:w="7620" w:type="dxa"/>
          </w:tcPr>
          <w:p w14:paraId="5B4D4747"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Kredītu atvasinātie instrumenti (pārdotā aizsardzība) – nosacītā summa</w:t>
            </w:r>
          </w:p>
          <w:p w14:paraId="79F96141" w14:textId="45B474E1" w:rsidR="00F4754B"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Tā ir summa, ko veido {0030;0070} un {0040;0070}.</w:t>
            </w:r>
          </w:p>
        </w:tc>
      </w:tr>
      <w:tr w:rsidR="00410E47" w:rsidRPr="00E75BB8" w14:paraId="3223F811" w14:textId="77777777" w:rsidTr="00776650">
        <w:tc>
          <w:tcPr>
            <w:tcW w:w="1418" w:type="dxa"/>
          </w:tcPr>
          <w:p w14:paraId="13A1CD32" w14:textId="73B22E89"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{0020;0075}</w:t>
            </w:r>
          </w:p>
        </w:tc>
        <w:tc>
          <w:tcPr>
            <w:tcW w:w="7620" w:type="dxa"/>
          </w:tcPr>
          <w:p w14:paraId="4149AAF1"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Kredītu atvasinātie instrumenti (pārdotā aizsardzība) – nosacītās summas maksimālā vērtība</w:t>
            </w:r>
          </w:p>
          <w:p w14:paraId="0C4AF19E" w14:textId="54E04166" w:rsidR="00410E47" w:rsidRPr="000B66BC" w:rsidRDefault="003E3C45" w:rsidP="000B66BC">
            <w:pPr>
              <w:pStyle w:val="BodyText1"/>
              <w:spacing w:after="240" w:line="240" w:lineRule="auto"/>
              <w:rPr>
                <w:rFonts w:ascii="Times New Roman" w:hAnsi="Times New Roman"/>
                <w:b/>
                <w:bCs/>
                <w:sz w:val="24"/>
                <w:szCs w:val="24"/>
                <w:u w:val="single"/>
              </w:rPr>
            </w:pPr>
            <w:r>
              <w:rPr>
                <w:rFonts w:ascii="Times New Roman" w:hAnsi="Times New Roman"/>
                <w:sz w:val="24"/>
              </w:rPr>
              <w:t>Iestādes uzrāda kredītu atvasināto instrumentu nosacīto summu (pārdotā aizsardzība) kā {0020; 0070} pēc tam, kad tā samazināta par negatīvām patiesās vērtības izmaiņām, kas iekļautas pirmā līmeņa kapitālā attiecībā uz pārdoto kredītu atvasināto instrumentu.</w:t>
            </w:r>
          </w:p>
        </w:tc>
      </w:tr>
      <w:tr w:rsidR="00F56B61" w:rsidRPr="00E75BB8" w14:paraId="01AA1F98" w14:textId="77777777" w:rsidTr="00F56B61">
        <w:tc>
          <w:tcPr>
            <w:tcW w:w="1418" w:type="dxa"/>
            <w:tcBorders>
              <w:top w:val="single" w:sz="4" w:space="0" w:color="auto"/>
              <w:left w:val="single" w:sz="4" w:space="0" w:color="auto"/>
              <w:bottom w:val="single" w:sz="4" w:space="0" w:color="auto"/>
              <w:right w:val="single" w:sz="4" w:space="0" w:color="auto"/>
            </w:tcBorders>
          </w:tcPr>
          <w:p w14:paraId="2BE34FE0" w14:textId="29A35CD8" w:rsidR="00F56B61" w:rsidRPr="000B66BC" w:rsidRDefault="00F56B61" w:rsidP="000B66BC">
            <w:pPr>
              <w:pStyle w:val="BodyText1"/>
              <w:spacing w:after="240"/>
              <w:rPr>
                <w:rFonts w:ascii="Times New Roman" w:hAnsi="Times New Roman"/>
                <w:bCs/>
                <w:sz w:val="24"/>
                <w:szCs w:val="24"/>
              </w:rPr>
            </w:pPr>
            <w:r>
              <w:rPr>
                <w:rFonts w:ascii="Times New Roman" w:hAnsi="Times New Roman"/>
                <w:sz w:val="24"/>
              </w:rPr>
              <w:t>{0030;0070}</w:t>
            </w:r>
          </w:p>
        </w:tc>
        <w:tc>
          <w:tcPr>
            <w:tcW w:w="7620" w:type="dxa"/>
            <w:tcBorders>
              <w:top w:val="single" w:sz="4" w:space="0" w:color="auto"/>
              <w:left w:val="single" w:sz="4" w:space="0" w:color="auto"/>
              <w:bottom w:val="single" w:sz="4" w:space="0" w:color="auto"/>
              <w:right w:val="single" w:sz="4" w:space="0" w:color="auto"/>
            </w:tcBorders>
          </w:tcPr>
          <w:p w14:paraId="15FC1D07" w14:textId="36F4ADB6" w:rsidR="00F56B61" w:rsidRPr="000B66BC" w:rsidRDefault="00F56B61" w:rsidP="000B66BC">
            <w:pPr>
              <w:pStyle w:val="BodyText1"/>
              <w:spacing w:after="240" w:line="240" w:lineRule="auto"/>
              <w:rPr>
                <w:rFonts w:ascii="Times New Roman" w:hAnsi="Times New Roman"/>
                <w:b/>
                <w:bCs/>
                <w:sz w:val="24"/>
                <w:szCs w:val="24"/>
              </w:rPr>
            </w:pPr>
            <w:r>
              <w:rPr>
                <w:rFonts w:ascii="Times New Roman" w:hAnsi="Times New Roman"/>
                <w:b/>
                <w:sz w:val="24"/>
              </w:rPr>
              <w:t>Kredītu atvasinātie instrumenti (pārdotā aizsardzība), uz kuriem attiecas slēgšanas klauzula – nosacītā summa</w:t>
            </w:r>
          </w:p>
          <w:p w14:paraId="018BEF1F" w14:textId="22289BB3" w:rsidR="00F56B61"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sz w:val="24"/>
              </w:rPr>
              <w:t xml:space="preserve">Šajā šūnā iestādes uzrāda kredītu atvasināto instrumentu nosacīto summu, ja iestāde pārdod </w:t>
            </w:r>
            <w:proofErr w:type="spellStart"/>
            <w:r>
              <w:rPr>
                <w:rFonts w:ascii="Times New Roman" w:hAnsi="Times New Roman"/>
                <w:sz w:val="24"/>
              </w:rPr>
              <w:t>kredītaizsardzību</w:t>
            </w:r>
            <w:proofErr w:type="spellEnd"/>
            <w:r>
              <w:rPr>
                <w:rFonts w:ascii="Times New Roman" w:hAnsi="Times New Roman"/>
                <w:sz w:val="24"/>
              </w:rPr>
              <w:t xml:space="preserve"> darījuma partnerim, uz kuru attiecas slēgšanas klauzula.</w:t>
            </w:r>
          </w:p>
          <w:p w14:paraId="5A116C41" w14:textId="488FF38F" w:rsidR="00F56B61" w:rsidRPr="000B66BC" w:rsidRDefault="00F56B61"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Slēgšanas klauzulu definē kā klauzulu, kas saistību neizpildes gadījumā, tostarp darījuma partnera bankrota vai maksātnespējas gadījumā, dod tiesības tai pusei, kurai nav saistību neizpildes, laikus pārtraukt un izbeigt visus darījumus, uz kuriem attiecas līgums.</w:t>
            </w:r>
          </w:p>
          <w:p w14:paraId="7931AC41" w14:textId="557F8233" w:rsidR="00F56B61" w:rsidRPr="000B66BC" w:rsidRDefault="00F56B61" w:rsidP="000B66BC">
            <w:pPr>
              <w:pStyle w:val="BodyText1"/>
              <w:spacing w:after="240" w:line="240" w:lineRule="auto"/>
              <w:rPr>
                <w:rFonts w:ascii="Times New Roman" w:hAnsi="Times New Roman"/>
                <w:b/>
                <w:bCs/>
                <w:sz w:val="24"/>
                <w:szCs w:val="24"/>
              </w:rPr>
            </w:pPr>
            <w:r>
              <w:rPr>
                <w:rFonts w:ascii="Times New Roman" w:hAnsi="Times New Roman"/>
                <w:sz w:val="24"/>
              </w:rPr>
              <w:t>Iestādes ņem vērā visus kredītu atvasinātos instrumentus, ne tikai tos, kas iekļauti tirdzniecības portfelī.</w:t>
            </w:r>
          </w:p>
        </w:tc>
      </w:tr>
      <w:tr w:rsidR="00410E47" w:rsidRPr="00E75BB8" w14:paraId="758B12D8" w14:textId="77777777" w:rsidTr="00F56B61">
        <w:tc>
          <w:tcPr>
            <w:tcW w:w="1418" w:type="dxa"/>
          </w:tcPr>
          <w:p w14:paraId="25EB07E0" w14:textId="122C4861"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lastRenderedPageBreak/>
              <w:t>{0040;0070}</w:t>
            </w:r>
          </w:p>
        </w:tc>
        <w:tc>
          <w:tcPr>
            <w:tcW w:w="7620" w:type="dxa"/>
          </w:tcPr>
          <w:p w14:paraId="6050FB9E" w14:textId="17B2C2C9"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Kredītu atvasinātie instrumenti (pārdotā aizsardzība), uz kuriem neattiecas slēgšanas klauzula – nosacītā summa</w:t>
            </w:r>
          </w:p>
          <w:p w14:paraId="1DD1CCDE" w14:textId="0B30797B" w:rsidR="00410E47" w:rsidRPr="000B66BC" w:rsidRDefault="003E3C45" w:rsidP="000B66BC">
            <w:pPr>
              <w:pStyle w:val="BodyText1"/>
              <w:spacing w:after="240" w:line="240" w:lineRule="auto"/>
              <w:rPr>
                <w:rFonts w:ascii="Times New Roman" w:hAnsi="Times New Roman"/>
                <w:sz w:val="24"/>
                <w:szCs w:val="24"/>
              </w:rPr>
            </w:pPr>
            <w:r>
              <w:rPr>
                <w:rFonts w:ascii="Times New Roman" w:hAnsi="Times New Roman"/>
                <w:sz w:val="24"/>
              </w:rPr>
              <w:t xml:space="preserve">Šajā šūnā iestādes uzrāda kredītu atvasināto instrumentu nosacīto summu“ ja iestāde pārdod </w:t>
            </w:r>
            <w:proofErr w:type="spellStart"/>
            <w:r>
              <w:rPr>
                <w:rFonts w:ascii="Times New Roman" w:hAnsi="Times New Roman"/>
                <w:sz w:val="24"/>
              </w:rPr>
              <w:t>kredītaizsardzību</w:t>
            </w:r>
            <w:proofErr w:type="spellEnd"/>
            <w:r>
              <w:rPr>
                <w:rFonts w:ascii="Times New Roman" w:hAnsi="Times New Roman"/>
                <w:sz w:val="24"/>
              </w:rPr>
              <w:t xml:space="preserve"> darījuma partnerim, uz kuru neattiecas slēgšanas klauzula.</w:t>
            </w:r>
          </w:p>
          <w:p w14:paraId="35F31007" w14:textId="3FE74DD8" w:rsidR="00410E47" w:rsidRPr="000B66BC" w:rsidRDefault="00410E47" w:rsidP="000B66BC">
            <w:pPr>
              <w:pStyle w:val="BodyText1"/>
              <w:spacing w:after="240" w:line="240" w:lineRule="auto"/>
              <w:rPr>
                <w:rFonts w:ascii="Times New Roman" w:hAnsi="Times New Roman"/>
                <w:sz w:val="24"/>
                <w:szCs w:val="24"/>
              </w:rPr>
            </w:pPr>
            <w:r>
              <w:rPr>
                <w:rFonts w:ascii="Times New Roman" w:hAnsi="Times New Roman"/>
                <w:sz w:val="24"/>
              </w:rPr>
              <w:t>Slēgšanas klauzulu definē kā klauzulu, kas saistību neizpildes gadījumā, tostarp darījuma partnera bankrota vai maksātnespējas gadījumā, dod tiesības tai pusei, kurai nav saistību neizpildes, laikus pārtraukt un izbeigt visus darījumus, uz kuriem attiecas līgums.</w:t>
            </w:r>
          </w:p>
          <w:p w14:paraId="3D6F6539" w14:textId="27A2337C"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sz w:val="24"/>
              </w:rPr>
              <w:t>Iestādes ņem vērā visus kredītu atvasinātos instrumentus, ne tikai tos, kas iekļauti tirdzniecības portfelī.</w:t>
            </w:r>
            <w:r>
              <w:rPr>
                <w:rFonts w:ascii="Times New Roman" w:hAnsi="Times New Roman"/>
                <w:b/>
                <w:sz w:val="24"/>
                <w:u w:val="single"/>
              </w:rPr>
              <w:t xml:space="preserve"> </w:t>
            </w:r>
          </w:p>
        </w:tc>
      </w:tr>
      <w:tr w:rsidR="00410E47" w:rsidRPr="00E75BB8" w14:paraId="6FD3F9A1" w14:textId="77777777" w:rsidTr="00F56B61">
        <w:tc>
          <w:tcPr>
            <w:tcW w:w="1418" w:type="dxa"/>
          </w:tcPr>
          <w:p w14:paraId="735EF22F" w14:textId="3084E841"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{0050;0010}</w:t>
            </w:r>
          </w:p>
        </w:tc>
        <w:tc>
          <w:tcPr>
            <w:tcW w:w="7620" w:type="dxa"/>
          </w:tcPr>
          <w:p w14:paraId="1C7DEFE2"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Kredītu atvasinātie instrumenti (nopirktā aizsardzība) – grāmatvedības bilances vērtība</w:t>
            </w:r>
          </w:p>
          <w:p w14:paraId="253831D8" w14:textId="71F050F1"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sz w:val="24"/>
              </w:rPr>
              <w:t xml:space="preserve">Regulas (ES) Nr. 575/2013 4. panta 1. punkta 77) apakšpunkts kredītu atvasināto instrumentu grāmatvedības bilances vērtība saskaņā ar piemērojamo grāmatvedības regulējumu, ja iestāde pērk </w:t>
            </w:r>
            <w:proofErr w:type="spellStart"/>
            <w:r>
              <w:rPr>
                <w:rFonts w:ascii="Times New Roman" w:hAnsi="Times New Roman"/>
                <w:sz w:val="24"/>
              </w:rPr>
              <w:t>kredītaizsardzību</w:t>
            </w:r>
            <w:proofErr w:type="spellEnd"/>
            <w:r>
              <w:rPr>
                <w:rFonts w:ascii="Times New Roman" w:hAnsi="Times New Roman"/>
                <w:sz w:val="24"/>
              </w:rPr>
              <w:t xml:space="preserve"> no darījuma partnera un līgumu atzīst par aktīvu bilancē.</w:t>
            </w:r>
          </w:p>
          <w:p w14:paraId="702252EB" w14:textId="057F95BC"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sz w:val="24"/>
              </w:rPr>
              <w:t>Iestādes ņem vērā visus kredītu atvasinātos instrumentus, ne tikai tos, kas iekļauti tirdzniecības portfelī.</w:t>
            </w:r>
            <w:r>
              <w:rPr>
                <w:rFonts w:ascii="Times New Roman" w:hAnsi="Times New Roman"/>
                <w:b/>
                <w:sz w:val="24"/>
                <w:u w:val="single"/>
              </w:rPr>
              <w:t xml:space="preserve"> </w:t>
            </w:r>
          </w:p>
        </w:tc>
      </w:tr>
      <w:tr w:rsidR="00410E47" w:rsidRPr="00E75BB8" w14:paraId="7D57309E" w14:textId="77777777" w:rsidTr="00F56B61">
        <w:tc>
          <w:tcPr>
            <w:tcW w:w="1418" w:type="dxa"/>
          </w:tcPr>
          <w:p w14:paraId="321C83DC" w14:textId="405C1057"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{0050;0020}</w:t>
            </w:r>
          </w:p>
        </w:tc>
        <w:tc>
          <w:tcPr>
            <w:tcW w:w="7620" w:type="dxa"/>
          </w:tcPr>
          <w:p w14:paraId="0AFB57D5"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Kredītu atvasinātie instrumenti (nopirktā aizsardzība) – uzskaites vērtība, pieņemot, ka nav savstarpējo prasījumu ieskaita vai citas KRM</w:t>
            </w:r>
          </w:p>
          <w:p w14:paraId="269D2982" w14:textId="2B5E1E52"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sz w:val="24"/>
              </w:rPr>
              <w:t xml:space="preserve">Regulas (ES) Nr. 575/2013 4. panta 1. punkta 77) apakšpunkts kredītu atvasināto instrumentu grāmatvedības bilances vērtība saskaņā ar piemērojamo grāmatvedības regulējumu, ja iestāde pērk </w:t>
            </w:r>
            <w:proofErr w:type="spellStart"/>
            <w:r>
              <w:rPr>
                <w:rFonts w:ascii="Times New Roman" w:hAnsi="Times New Roman"/>
                <w:sz w:val="24"/>
              </w:rPr>
              <w:t>kredītaizsardzību</w:t>
            </w:r>
            <w:proofErr w:type="spellEnd"/>
            <w:r>
              <w:rPr>
                <w:rFonts w:ascii="Times New Roman" w:hAnsi="Times New Roman"/>
                <w:sz w:val="24"/>
              </w:rPr>
              <w:t xml:space="preserve"> no darījuma partnera un līgumu atzīst par aktīvu bilancē, pieņemot, ka nav </w:t>
            </w:r>
            <w:proofErr w:type="spellStart"/>
            <w:r>
              <w:rPr>
                <w:rFonts w:ascii="Times New Roman" w:hAnsi="Times New Roman"/>
                <w:sz w:val="24"/>
              </w:rPr>
              <w:t>prudenciālā</w:t>
            </w:r>
            <w:proofErr w:type="spellEnd"/>
            <w:r>
              <w:rPr>
                <w:rFonts w:ascii="Times New Roman" w:hAnsi="Times New Roman"/>
                <w:sz w:val="24"/>
              </w:rPr>
              <w:t xml:space="preserve"> vai grāmatvedības savstarpējo prasījumu ieskaita vai citas KRM ietekmes (proti, apvērš jebkādu grāmatvedības savstarpējo prasījumu ieskaita vai KRM ietekmi, kas ietekmējusi uzskaites vērtību).</w:t>
            </w:r>
          </w:p>
          <w:p w14:paraId="2E8D49DB" w14:textId="0AA00007"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sz w:val="24"/>
              </w:rPr>
              <w:t>Iestādes ņem vērā visus kredītu atvasinātos instrumentus, ne tikai tos, kas iekļauti tirdzniecības portfelī.</w:t>
            </w:r>
            <w:r>
              <w:rPr>
                <w:rFonts w:ascii="Times New Roman" w:hAnsi="Times New Roman"/>
                <w:b/>
                <w:sz w:val="24"/>
                <w:u w:val="single"/>
              </w:rPr>
              <w:t xml:space="preserve"> </w:t>
            </w:r>
          </w:p>
        </w:tc>
      </w:tr>
      <w:tr w:rsidR="00410E47" w:rsidRPr="00E75BB8" w14:paraId="66D4DF42" w14:textId="77777777" w:rsidTr="00776650">
        <w:tc>
          <w:tcPr>
            <w:tcW w:w="1418" w:type="dxa"/>
          </w:tcPr>
          <w:p w14:paraId="14F12A57" w14:textId="14E0A38E"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lastRenderedPageBreak/>
              <w:t>{0050;0070}</w:t>
            </w:r>
          </w:p>
          <w:p w14:paraId="02F218B6" w14:textId="77777777" w:rsidR="00410E47" w:rsidRPr="000B66BC" w:rsidRDefault="00410E47" w:rsidP="000B66BC">
            <w:pPr>
              <w:pStyle w:val="BodyText1"/>
              <w:spacing w:after="240"/>
              <w:rPr>
                <w:rFonts w:ascii="Times New Roman" w:hAnsi="Times New Roman"/>
                <w:bCs/>
                <w:sz w:val="24"/>
                <w:szCs w:val="24"/>
              </w:rPr>
            </w:pPr>
          </w:p>
        </w:tc>
        <w:tc>
          <w:tcPr>
            <w:tcW w:w="7620" w:type="dxa"/>
          </w:tcPr>
          <w:p w14:paraId="1CAAAE13"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Kredītu atvasinātie instrumenti (nopirktā aizsardzība) – nosacītā summa</w:t>
            </w:r>
          </w:p>
          <w:p w14:paraId="1671DB5D" w14:textId="3D6728B4" w:rsidR="00410E47"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sz w:val="24"/>
              </w:rPr>
              <w:t xml:space="preserve">Iestādes uzrāda kredītu atvasināto instrumentu nosacīto summu, ja iestāde pērk </w:t>
            </w:r>
            <w:proofErr w:type="spellStart"/>
            <w:r>
              <w:rPr>
                <w:rFonts w:ascii="Times New Roman" w:hAnsi="Times New Roman"/>
                <w:sz w:val="24"/>
              </w:rPr>
              <w:t>kredītaizsardzību</w:t>
            </w:r>
            <w:proofErr w:type="spellEnd"/>
            <w:r>
              <w:rPr>
                <w:rFonts w:ascii="Times New Roman" w:hAnsi="Times New Roman"/>
                <w:sz w:val="24"/>
              </w:rPr>
              <w:t xml:space="preserve"> no darījuma partnera. </w:t>
            </w:r>
          </w:p>
          <w:p w14:paraId="38DBE45F" w14:textId="372DBEE5"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sz w:val="24"/>
              </w:rPr>
              <w:t>Iestādes ņem vērā visus kredītu atvasinātos instrumentus, ne tikai tos, kas iekļauti tirdzniecības portfelī.</w:t>
            </w:r>
            <w:r>
              <w:rPr>
                <w:rFonts w:ascii="Times New Roman" w:hAnsi="Times New Roman"/>
                <w:b/>
                <w:sz w:val="24"/>
                <w:u w:val="single"/>
              </w:rPr>
              <w:t xml:space="preserve"> </w:t>
            </w:r>
          </w:p>
        </w:tc>
      </w:tr>
      <w:tr w:rsidR="00410E47" w:rsidRPr="00E75BB8" w14:paraId="05C9F42E" w14:textId="77777777" w:rsidTr="00776650">
        <w:tc>
          <w:tcPr>
            <w:tcW w:w="1418" w:type="dxa"/>
          </w:tcPr>
          <w:p w14:paraId="0F85E383" w14:textId="5077338D"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{0050;0075}</w:t>
            </w:r>
          </w:p>
        </w:tc>
        <w:tc>
          <w:tcPr>
            <w:tcW w:w="7620" w:type="dxa"/>
          </w:tcPr>
          <w:p w14:paraId="1E75C7B9"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Kredītu atvasinātie instrumenti (nopirktā aizsardzība) – nosacītās summas maksimālā vērtība</w:t>
            </w:r>
          </w:p>
          <w:p w14:paraId="34A0542C" w14:textId="20F92B99" w:rsidR="00410E47" w:rsidRPr="000B66BC" w:rsidRDefault="003E3C45" w:rsidP="000B66BC">
            <w:pPr>
              <w:pStyle w:val="BodyText1"/>
              <w:spacing w:after="240" w:line="240" w:lineRule="auto"/>
              <w:rPr>
                <w:rFonts w:ascii="Times New Roman" w:hAnsi="Times New Roman"/>
                <w:b/>
                <w:bCs/>
                <w:sz w:val="24"/>
                <w:szCs w:val="24"/>
              </w:rPr>
            </w:pPr>
            <w:r>
              <w:rPr>
                <w:rFonts w:ascii="Times New Roman" w:hAnsi="Times New Roman"/>
                <w:sz w:val="24"/>
              </w:rPr>
              <w:t>Iestādes uzrāda kredītu atvasināto instrumentu nosacīto summu (nopirktā aizsardzība) kā {0050;0070} pēc tam, kad tā samazināta par pozitīvām patiesās vērtības izmaiņām, kas iekļautas pirmā līmeņa kapitālā attiecībā uz nopirkto kredītu atvasināto instrumentu.</w:t>
            </w:r>
          </w:p>
        </w:tc>
      </w:tr>
      <w:tr w:rsidR="00410E47" w:rsidRPr="00E75BB8" w14:paraId="3D24D0EB" w14:textId="77777777" w:rsidTr="00776650">
        <w:tc>
          <w:tcPr>
            <w:tcW w:w="1418" w:type="dxa"/>
          </w:tcPr>
          <w:p w14:paraId="2FA9342C" w14:textId="1D5DB6DE"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{0050;0085}</w:t>
            </w:r>
          </w:p>
          <w:p w14:paraId="09433CF3" w14:textId="77777777" w:rsidR="00410E47" w:rsidRPr="000B66BC" w:rsidRDefault="00410E47" w:rsidP="000B66BC">
            <w:pPr>
              <w:pStyle w:val="BodyText1"/>
              <w:spacing w:after="240"/>
              <w:rPr>
                <w:rFonts w:ascii="Times New Roman" w:hAnsi="Times New Roman"/>
                <w:bCs/>
                <w:sz w:val="24"/>
                <w:szCs w:val="24"/>
              </w:rPr>
            </w:pPr>
          </w:p>
        </w:tc>
        <w:tc>
          <w:tcPr>
            <w:tcW w:w="7620" w:type="dxa"/>
          </w:tcPr>
          <w:p w14:paraId="7385FC42" w14:textId="77777777" w:rsidR="00410E47" w:rsidRPr="000B66BC" w:rsidRDefault="00ED7412" w:rsidP="000B66BC">
            <w:pPr>
              <w:pStyle w:val="BodyText1"/>
              <w:spacing w:after="240" w:line="240" w:lineRule="auto"/>
              <w:rPr>
                <w:rFonts w:ascii="Times New Roman" w:hAnsi="Times New Roman"/>
                <w:b/>
                <w:bCs/>
                <w:sz w:val="24"/>
                <w:szCs w:val="24"/>
              </w:rPr>
            </w:pPr>
            <w:r>
              <w:rPr>
                <w:rFonts w:ascii="Times New Roman" w:hAnsi="Times New Roman"/>
                <w:b/>
                <w:sz w:val="24"/>
              </w:rPr>
              <w:t>Kredītu atvasinātie instrumenti (nopirktā aizsardzība) – nosacītās summas maksimālā vērtība (tas pats atsauces nosaukums)</w:t>
            </w:r>
          </w:p>
          <w:p w14:paraId="797BBD79" w14:textId="03DB9559" w:rsidR="00410E47"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sz w:val="24"/>
              </w:rPr>
              <w:t xml:space="preserve">Iestādes uzrāda kredītu atvasināto instrumentu nosacīto summu, ja iestāde pērk </w:t>
            </w:r>
            <w:proofErr w:type="spellStart"/>
            <w:r>
              <w:rPr>
                <w:rFonts w:ascii="Times New Roman" w:hAnsi="Times New Roman"/>
                <w:sz w:val="24"/>
              </w:rPr>
              <w:t>kredītaizsardzību</w:t>
            </w:r>
            <w:proofErr w:type="spellEnd"/>
            <w:r>
              <w:rPr>
                <w:rFonts w:ascii="Times New Roman" w:hAnsi="Times New Roman"/>
                <w:sz w:val="24"/>
              </w:rPr>
              <w:t xml:space="preserve"> par to pašu atsauces nosaukumu kā kredītu atvasinātie instrumenti, kurus ir pārdevusi pārskatu sniedzošā iestāde.</w:t>
            </w:r>
          </w:p>
          <w:p w14:paraId="55CDE23E" w14:textId="77777777"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sz w:val="24"/>
              </w:rPr>
              <w:t xml:space="preserve">Šīs šūnas vērtības sniegšanas vajadzībām pamatā esošos atsauces nosaukumus uzskata par vienu un to pašu, ja tie attiecas uz vienu un to pašu juridisko personu un prioritātes pakāpi. </w:t>
            </w:r>
          </w:p>
          <w:p w14:paraId="2F022BB9" w14:textId="3144A560" w:rsidR="00410E47" w:rsidRPr="000B66BC" w:rsidRDefault="00410E47" w:rsidP="000B66BC">
            <w:pPr>
              <w:pStyle w:val="BodyText1"/>
              <w:spacing w:after="240" w:line="240" w:lineRule="auto"/>
              <w:rPr>
                <w:rFonts w:ascii="Times New Roman" w:hAnsi="Times New Roman"/>
                <w:bCs/>
                <w:sz w:val="24"/>
                <w:szCs w:val="24"/>
              </w:rPr>
            </w:pPr>
            <w:proofErr w:type="spellStart"/>
            <w:r>
              <w:rPr>
                <w:rFonts w:ascii="Times New Roman" w:hAnsi="Times New Roman"/>
                <w:sz w:val="24"/>
              </w:rPr>
              <w:t>Kredītaizsardzību</w:t>
            </w:r>
            <w:proofErr w:type="spellEnd"/>
            <w:r>
              <w:rPr>
                <w:rFonts w:ascii="Times New Roman" w:hAnsi="Times New Roman"/>
                <w:sz w:val="24"/>
              </w:rPr>
              <w:t>, kas nopirkta attiecībā uz atsauces sabiedrību portfeli, uzskata par to pašu, ja šī aizsardzība ir ekonomiski līdzvērtīga atsevišķi nopirktai aizsardzībai attiecībā uz katru atsevišķo nosaukumu portfelī.</w:t>
            </w:r>
          </w:p>
          <w:p w14:paraId="0154314D" w14:textId="77777777"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sz w:val="24"/>
              </w:rPr>
              <w:t xml:space="preserve">Ja iestāde pērk </w:t>
            </w:r>
            <w:proofErr w:type="spellStart"/>
            <w:r>
              <w:rPr>
                <w:rFonts w:ascii="Times New Roman" w:hAnsi="Times New Roman"/>
                <w:sz w:val="24"/>
              </w:rPr>
              <w:t>kredītaizsardzību</w:t>
            </w:r>
            <w:proofErr w:type="spellEnd"/>
            <w:r>
              <w:rPr>
                <w:rFonts w:ascii="Times New Roman" w:hAnsi="Times New Roman"/>
                <w:sz w:val="24"/>
              </w:rPr>
              <w:t xml:space="preserve"> attiecībā uz atsauces nosaukumu portfeli, to uzskata par to pašu tikai tad, ja nopirktā </w:t>
            </w:r>
            <w:proofErr w:type="spellStart"/>
            <w:r>
              <w:rPr>
                <w:rFonts w:ascii="Times New Roman" w:hAnsi="Times New Roman"/>
                <w:sz w:val="24"/>
              </w:rPr>
              <w:t>kredītaizsardzība</w:t>
            </w:r>
            <w:proofErr w:type="spellEnd"/>
            <w:r>
              <w:rPr>
                <w:rFonts w:ascii="Times New Roman" w:hAnsi="Times New Roman"/>
                <w:sz w:val="24"/>
              </w:rPr>
              <w:t xml:space="preserve"> attiecas uz visām apakškopām portfelī, attiecībā uz ko ir pārdota </w:t>
            </w:r>
            <w:proofErr w:type="spellStart"/>
            <w:r>
              <w:rPr>
                <w:rFonts w:ascii="Times New Roman" w:hAnsi="Times New Roman"/>
                <w:sz w:val="24"/>
              </w:rPr>
              <w:t>kredītaizsardzība</w:t>
            </w:r>
            <w:proofErr w:type="spellEnd"/>
            <w:r>
              <w:rPr>
                <w:rFonts w:ascii="Times New Roman" w:hAnsi="Times New Roman"/>
                <w:sz w:val="24"/>
              </w:rPr>
              <w:t xml:space="preserve">. Citiem vārdiem sakot, ieskaitu var atzīt tikai tad, ja atsauces sabiedrību portfelis un pakārtotības līmenis abos darījumos ir vienāds. </w:t>
            </w:r>
          </w:p>
          <w:p w14:paraId="52D47F4F" w14:textId="120567C7" w:rsidR="00410E47" w:rsidRPr="000B66BC" w:rsidRDefault="00410E47" w:rsidP="00474B43">
            <w:pPr>
              <w:pStyle w:val="BodyText1"/>
              <w:spacing w:after="240" w:line="240" w:lineRule="auto"/>
              <w:rPr>
                <w:rFonts w:ascii="Times New Roman" w:hAnsi="Times New Roman"/>
                <w:b/>
                <w:bCs/>
                <w:sz w:val="24"/>
                <w:szCs w:val="24"/>
                <w:u w:val="single"/>
              </w:rPr>
            </w:pPr>
            <w:r>
              <w:rPr>
                <w:rFonts w:ascii="Times New Roman" w:hAnsi="Times New Roman"/>
                <w:sz w:val="24"/>
              </w:rPr>
              <w:t xml:space="preserve">Katra atsauces nosaukuma gadījumā </w:t>
            </w:r>
            <w:proofErr w:type="spellStart"/>
            <w:r>
              <w:rPr>
                <w:rFonts w:ascii="Times New Roman" w:hAnsi="Times New Roman"/>
                <w:sz w:val="24"/>
              </w:rPr>
              <w:t>kredītaizsardzības</w:t>
            </w:r>
            <w:proofErr w:type="spellEnd"/>
            <w:r>
              <w:rPr>
                <w:rFonts w:ascii="Times New Roman" w:hAnsi="Times New Roman"/>
                <w:sz w:val="24"/>
              </w:rPr>
              <w:t xml:space="preserve"> nosacītās summas, kas tiek ņemtas vērā šajā šūnā, nepārsniedz summas, kas uzrādītas {0020;0075} un {0050;0075}.</w:t>
            </w:r>
          </w:p>
        </w:tc>
      </w:tr>
      <w:tr w:rsidR="00410E47" w:rsidRPr="00E75BB8" w14:paraId="679A8A87" w14:textId="77777777" w:rsidTr="00776650">
        <w:tc>
          <w:tcPr>
            <w:tcW w:w="1418" w:type="dxa"/>
          </w:tcPr>
          <w:p w14:paraId="486F8B55" w14:textId="7C0C1343"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{0060;0010}</w:t>
            </w:r>
          </w:p>
        </w:tc>
        <w:tc>
          <w:tcPr>
            <w:tcW w:w="7620" w:type="dxa"/>
          </w:tcPr>
          <w:p w14:paraId="7A410C0D" w14:textId="15D05203"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Finanšu atvasinātie instrumenti – grāmatvedības bilances vērtība</w:t>
            </w:r>
          </w:p>
          <w:p w14:paraId="6FA0DDE8" w14:textId="54BDF180"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sz w:val="24"/>
              </w:rPr>
              <w:t>Regulas (ES) Nr. 575/2013 4. panta 1. punkta 77) apakšpunkts</w:t>
            </w:r>
          </w:p>
          <w:p w14:paraId="5A64C9B2" w14:textId="15E6A0CE" w:rsidR="00410E47" w:rsidRPr="000B66BC" w:rsidRDefault="00E24137" w:rsidP="00474B43">
            <w:pPr>
              <w:pStyle w:val="BodyText1"/>
              <w:spacing w:after="240" w:line="240" w:lineRule="auto"/>
              <w:rPr>
                <w:rFonts w:ascii="Times New Roman" w:hAnsi="Times New Roman"/>
                <w:b/>
                <w:bCs/>
                <w:sz w:val="24"/>
                <w:szCs w:val="24"/>
                <w:u w:val="single"/>
              </w:rPr>
            </w:pPr>
            <w:r>
              <w:rPr>
                <w:rFonts w:ascii="Times New Roman" w:hAnsi="Times New Roman"/>
                <w:sz w:val="24"/>
              </w:rPr>
              <w:t>Regulas (ES) Nr. 575/2013 II pielikumā norādīto līgumu grāmatvedības bilances vērtība saskaņā ar piemērojamo grāmatvedības regulējumu, ja līgumus atzīst par aktīviem bilancē.</w:t>
            </w:r>
          </w:p>
        </w:tc>
      </w:tr>
      <w:tr w:rsidR="00410E47" w:rsidRPr="00E75BB8" w14:paraId="64AB4D96" w14:textId="77777777" w:rsidTr="00776650">
        <w:tc>
          <w:tcPr>
            <w:tcW w:w="1418" w:type="dxa"/>
          </w:tcPr>
          <w:p w14:paraId="2EC14738" w14:textId="4D7985E6"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lastRenderedPageBreak/>
              <w:t>{0060;0020}</w:t>
            </w:r>
          </w:p>
        </w:tc>
        <w:tc>
          <w:tcPr>
            <w:tcW w:w="7620" w:type="dxa"/>
          </w:tcPr>
          <w:p w14:paraId="47D5F195"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Finanšu atvasinātie instrumenti – uzskaites vērtība, pieņemot, ka nav savstarpējo prasījumu ieskaita vai citas KRM</w:t>
            </w:r>
          </w:p>
          <w:p w14:paraId="00EB79C6" w14:textId="4B1F5274" w:rsidR="00410E47" w:rsidRPr="000B66BC" w:rsidRDefault="006D6827" w:rsidP="00474B43">
            <w:pPr>
              <w:pStyle w:val="BodyText1"/>
              <w:spacing w:after="240" w:line="240" w:lineRule="auto"/>
              <w:rPr>
                <w:rFonts w:ascii="Times New Roman" w:hAnsi="Times New Roman"/>
                <w:b/>
                <w:bCs/>
                <w:sz w:val="24"/>
                <w:szCs w:val="24"/>
                <w:u w:val="single"/>
              </w:rPr>
            </w:pPr>
            <w:r>
              <w:rPr>
                <w:rFonts w:ascii="Times New Roman" w:hAnsi="Times New Roman"/>
                <w:sz w:val="24"/>
              </w:rPr>
              <w:t xml:space="preserve">Regulas (ES) Nr. 575/2013 4. panta 1. punkta 77) apakšpunkts Regulas (ES) Nr. 575/2013 II pielikumā norādīto līgumu grāmatvedības bilances vērtība saskaņā ar piemērojamo grāmatvedības regulējumu, ja līgumus atzīst par aktīviem bilancē, pieņemot, ka nav </w:t>
            </w:r>
            <w:proofErr w:type="spellStart"/>
            <w:r>
              <w:rPr>
                <w:rFonts w:ascii="Times New Roman" w:hAnsi="Times New Roman"/>
                <w:sz w:val="24"/>
              </w:rPr>
              <w:t>prudenciālā</w:t>
            </w:r>
            <w:proofErr w:type="spellEnd"/>
            <w:r>
              <w:rPr>
                <w:rFonts w:ascii="Times New Roman" w:hAnsi="Times New Roman"/>
                <w:sz w:val="24"/>
              </w:rPr>
              <w:t xml:space="preserve"> vai grāmatvedības savstarpējo prasījumu ieskaita vai citas KRM ietekmes (proti, apvērš jebkādu grāmatvedības savstarpējo prasījumu ieskaita vai KRM ietekmi, kas ietekmējusi uzskaites vērtību).</w:t>
            </w:r>
          </w:p>
        </w:tc>
      </w:tr>
      <w:tr w:rsidR="00410E47" w:rsidRPr="00E75BB8" w14:paraId="24EE0FAD" w14:textId="77777777" w:rsidTr="00776650">
        <w:tc>
          <w:tcPr>
            <w:tcW w:w="1418" w:type="dxa"/>
          </w:tcPr>
          <w:p w14:paraId="1ACC573A" w14:textId="679E5400"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{0060;0070}</w:t>
            </w:r>
          </w:p>
        </w:tc>
        <w:tc>
          <w:tcPr>
            <w:tcW w:w="7620" w:type="dxa"/>
          </w:tcPr>
          <w:p w14:paraId="2C3B01F2"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Finanšu atvasinātie instrumenti ― nosacītā summa</w:t>
            </w:r>
          </w:p>
          <w:p w14:paraId="64E79FE5" w14:textId="0BAB0D53" w:rsidR="00410E47" w:rsidRPr="000B66BC" w:rsidRDefault="00410E47" w:rsidP="00474B43">
            <w:pPr>
              <w:pStyle w:val="BodyText1"/>
              <w:spacing w:after="240" w:line="240" w:lineRule="auto"/>
              <w:rPr>
                <w:rFonts w:ascii="Times New Roman" w:hAnsi="Times New Roman"/>
                <w:b/>
                <w:bCs/>
                <w:sz w:val="24"/>
                <w:szCs w:val="24"/>
                <w:u w:val="single"/>
              </w:rPr>
            </w:pPr>
            <w:r>
              <w:rPr>
                <w:rFonts w:ascii="Times New Roman" w:hAnsi="Times New Roman"/>
                <w:sz w:val="24"/>
              </w:rPr>
              <w:t>Šajā šūnā sniedz tajos līgumos norādīto nosacīto summu, kas norādīti Regulas (ES) Nr. 575/2013 II pielikumā.</w:t>
            </w:r>
          </w:p>
        </w:tc>
      </w:tr>
      <w:tr w:rsidR="007B7914" w:rsidRPr="00E75BB8" w14:paraId="77E61D46" w14:textId="77777777" w:rsidTr="007B7914">
        <w:tc>
          <w:tcPr>
            <w:tcW w:w="1418" w:type="dxa"/>
            <w:tcBorders>
              <w:top w:val="single" w:sz="4" w:space="0" w:color="auto"/>
              <w:left w:val="single" w:sz="4" w:space="0" w:color="auto"/>
              <w:bottom w:val="single" w:sz="4" w:space="0" w:color="auto"/>
              <w:right w:val="single" w:sz="4" w:space="0" w:color="auto"/>
            </w:tcBorders>
          </w:tcPr>
          <w:p w14:paraId="1DF724BB" w14:textId="77777777" w:rsidR="007B7914" w:rsidRPr="000B66BC" w:rsidRDefault="007B7914" w:rsidP="000B66BC">
            <w:pPr>
              <w:pStyle w:val="BodyText1"/>
              <w:spacing w:after="240"/>
              <w:rPr>
                <w:rFonts w:ascii="Times New Roman" w:hAnsi="Times New Roman"/>
                <w:bCs/>
                <w:sz w:val="24"/>
                <w:szCs w:val="24"/>
              </w:rPr>
            </w:pPr>
            <w:r>
              <w:rPr>
                <w:rFonts w:ascii="Times New Roman" w:hAnsi="Times New Roman"/>
                <w:sz w:val="24"/>
              </w:rPr>
              <w:t>{0071;0010}</w:t>
            </w:r>
          </w:p>
        </w:tc>
        <w:tc>
          <w:tcPr>
            <w:tcW w:w="7620" w:type="dxa"/>
            <w:tcBorders>
              <w:top w:val="single" w:sz="4" w:space="0" w:color="auto"/>
              <w:left w:val="single" w:sz="4" w:space="0" w:color="auto"/>
              <w:bottom w:val="single" w:sz="4" w:space="0" w:color="auto"/>
              <w:right w:val="single" w:sz="4" w:space="0" w:color="auto"/>
            </w:tcBorders>
          </w:tcPr>
          <w:p w14:paraId="2D48E17E" w14:textId="77777777"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
                <w:sz w:val="24"/>
              </w:rPr>
              <w:t>Vērtspapīru finansēšanas darījumi – grāmatvedības bilances vērtība</w:t>
            </w:r>
          </w:p>
          <w:p w14:paraId="0D6AB751" w14:textId="3C2AF32F" w:rsidR="007B7914" w:rsidRPr="000B66BC" w:rsidRDefault="007B7914" w:rsidP="000B66BC">
            <w:pPr>
              <w:pStyle w:val="BodyText1"/>
              <w:spacing w:after="240" w:line="240" w:lineRule="auto"/>
              <w:rPr>
                <w:rFonts w:ascii="Times New Roman" w:hAnsi="Times New Roman"/>
                <w:bCs/>
                <w:sz w:val="24"/>
                <w:szCs w:val="24"/>
              </w:rPr>
            </w:pPr>
            <w:r>
              <w:rPr>
                <w:rFonts w:ascii="Times New Roman" w:hAnsi="Times New Roman"/>
                <w:sz w:val="24"/>
              </w:rPr>
              <w:t>Regulas (ES) Nr. 575/2013 4. panta 1. punkta 77) apakšpunkts VFD grāmatvedības bilances vērtība saskaņā ar piemērojamo grāmatvedības regulējumu, ja līgumus atzīst par aktīviem bilancē.</w:t>
            </w:r>
          </w:p>
          <w:p w14:paraId="2235756A" w14:textId="4A4EF690"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sz w:val="24"/>
              </w:rPr>
              <w:t>Šajā šūnā iestādes neiekļauj saņemto naudu vai jebkādu nodrošinājumu, kas sniegts darījuma partnerim, izmantojot iepriekš minētos darījumus, un paturēts bilancē (proti, nav izpildīti grāmatvedības kritēriji par atzīšanas pārtraukšanu). Tā vietā iestādes to iekļauj {0090,0010}.</w:t>
            </w:r>
          </w:p>
        </w:tc>
      </w:tr>
      <w:tr w:rsidR="007B7914" w:rsidRPr="00E75BB8" w14:paraId="4906EC4F" w14:textId="77777777" w:rsidTr="007B7914">
        <w:tc>
          <w:tcPr>
            <w:tcW w:w="1418" w:type="dxa"/>
            <w:tcBorders>
              <w:top w:val="single" w:sz="4" w:space="0" w:color="auto"/>
              <w:left w:val="single" w:sz="4" w:space="0" w:color="auto"/>
              <w:bottom w:val="single" w:sz="4" w:space="0" w:color="auto"/>
              <w:right w:val="single" w:sz="4" w:space="0" w:color="auto"/>
            </w:tcBorders>
          </w:tcPr>
          <w:p w14:paraId="51FE085B" w14:textId="77777777" w:rsidR="007B7914" w:rsidRPr="000B66BC" w:rsidRDefault="007B7914" w:rsidP="000B66BC">
            <w:pPr>
              <w:pStyle w:val="BodyText1"/>
              <w:spacing w:after="240"/>
              <w:rPr>
                <w:rFonts w:ascii="Times New Roman" w:hAnsi="Times New Roman"/>
                <w:bCs/>
                <w:sz w:val="24"/>
                <w:szCs w:val="24"/>
              </w:rPr>
            </w:pPr>
            <w:r>
              <w:rPr>
                <w:rFonts w:ascii="Times New Roman" w:hAnsi="Times New Roman"/>
                <w:sz w:val="24"/>
              </w:rPr>
              <w:t>{0071;0020}</w:t>
            </w:r>
          </w:p>
        </w:tc>
        <w:tc>
          <w:tcPr>
            <w:tcW w:w="7620" w:type="dxa"/>
            <w:tcBorders>
              <w:top w:val="single" w:sz="4" w:space="0" w:color="auto"/>
              <w:left w:val="single" w:sz="4" w:space="0" w:color="auto"/>
              <w:bottom w:val="single" w:sz="4" w:space="0" w:color="auto"/>
              <w:right w:val="single" w:sz="4" w:space="0" w:color="auto"/>
            </w:tcBorders>
          </w:tcPr>
          <w:p w14:paraId="199363B4" w14:textId="77777777"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
                <w:sz w:val="24"/>
              </w:rPr>
              <w:t>Vērtspapīru finansēšanas darījumi – uzskaites vērtība, pieņemot, ka nav savstarpējā ieskaita vai citas KRM</w:t>
            </w:r>
          </w:p>
          <w:p w14:paraId="07F0EA6D" w14:textId="56C0173B" w:rsidR="00474B43" w:rsidRDefault="007B7914" w:rsidP="000B66BC">
            <w:pPr>
              <w:pStyle w:val="BodyText1"/>
              <w:spacing w:after="240" w:line="240" w:lineRule="auto"/>
              <w:rPr>
                <w:rFonts w:ascii="Times New Roman" w:hAnsi="Times New Roman"/>
                <w:bCs/>
                <w:sz w:val="24"/>
                <w:szCs w:val="24"/>
              </w:rPr>
            </w:pPr>
            <w:r>
              <w:rPr>
                <w:rFonts w:ascii="Times New Roman" w:hAnsi="Times New Roman"/>
                <w:sz w:val="24"/>
              </w:rPr>
              <w:t xml:space="preserve">Regulas (ES) Nr. 575/2013 4. panta 1. punkta 77) apakšpunkts grāmatvedības bilances vērtība saskaņā ar piemērojamo grāmatvedības regulējumu, ja līgumus atzīst par aktīviem bilancē, pieņemot, ka nav </w:t>
            </w:r>
            <w:proofErr w:type="spellStart"/>
            <w:r>
              <w:rPr>
                <w:rFonts w:ascii="Times New Roman" w:hAnsi="Times New Roman"/>
                <w:sz w:val="24"/>
              </w:rPr>
              <w:t>prudenciālā</w:t>
            </w:r>
            <w:proofErr w:type="spellEnd"/>
            <w:r>
              <w:rPr>
                <w:rFonts w:ascii="Times New Roman" w:hAnsi="Times New Roman"/>
                <w:sz w:val="24"/>
              </w:rPr>
              <w:t xml:space="preserve"> vai grāmatvedības savstarpējo prasījumu ieskaita vai citas KRM ietekmes (proti, apvērš jebkādu grāmatvedības savstarpējo prasījumu ieskaita vai KRM ietekmi, kas ietekmējusi uzskaites vērtību). </w:t>
            </w:r>
          </w:p>
          <w:p w14:paraId="04F4C292" w14:textId="292EA0BD" w:rsidR="007B7914" w:rsidRPr="000B66BC" w:rsidRDefault="00474B43" w:rsidP="000B66BC">
            <w:pPr>
              <w:pStyle w:val="BodyText1"/>
              <w:spacing w:after="240" w:line="240" w:lineRule="auto"/>
              <w:rPr>
                <w:rFonts w:ascii="Times New Roman" w:hAnsi="Times New Roman"/>
                <w:bCs/>
                <w:sz w:val="24"/>
                <w:szCs w:val="24"/>
              </w:rPr>
            </w:pPr>
            <w:r>
              <w:rPr>
                <w:rFonts w:ascii="Times New Roman" w:hAnsi="Times New Roman"/>
                <w:sz w:val="24"/>
              </w:rPr>
              <w:t>Ja saskaņā ar piemērojamo grāmatvedības regulējumu VFD piemēro pārdošanas uzskaiti, iestādes apvērš visus ar pārdošanu saistītos uzskaites ierakstus.</w:t>
            </w:r>
          </w:p>
          <w:p w14:paraId="072F9F82" w14:textId="5255D9A3"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sz w:val="24"/>
              </w:rPr>
              <w:t>Šajā šūnā iestādes neiekļauj saņemto naudu vai jebkādu nodrošinājumu, kas sniegts darījuma partnerim, izmantojot iepriekš minētos darījumus, un paturēts bilancē (proti, nav izpildīti grāmatvedības kritēriji par atzīšanas pārtraukšanu). Tā vietā iestādes to iekļauj {0090,0020}.</w:t>
            </w:r>
          </w:p>
        </w:tc>
      </w:tr>
      <w:tr w:rsidR="00410E47" w:rsidRPr="00E75BB8" w14:paraId="2BD078C3" w14:textId="77777777" w:rsidTr="00FC2664">
        <w:tc>
          <w:tcPr>
            <w:tcW w:w="1418" w:type="dxa"/>
          </w:tcPr>
          <w:p w14:paraId="793DC72B" w14:textId="19D262D1"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{0090;0010}</w:t>
            </w:r>
          </w:p>
        </w:tc>
        <w:tc>
          <w:tcPr>
            <w:tcW w:w="7620" w:type="dxa"/>
          </w:tcPr>
          <w:p w14:paraId="520EA2AC"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Citi aktīvi – grāmatvedības bilances vērtība</w:t>
            </w:r>
          </w:p>
          <w:p w14:paraId="6BEE30BB" w14:textId="44CE9FC7" w:rsidR="00410E47" w:rsidRPr="000B66BC" w:rsidRDefault="0084728D" w:rsidP="00474B43">
            <w:pPr>
              <w:pStyle w:val="BodyText1"/>
              <w:spacing w:after="240" w:line="240" w:lineRule="auto"/>
              <w:rPr>
                <w:rFonts w:ascii="Times New Roman" w:hAnsi="Times New Roman"/>
                <w:b/>
                <w:bCs/>
                <w:sz w:val="24"/>
                <w:szCs w:val="24"/>
                <w:u w:val="single"/>
              </w:rPr>
            </w:pPr>
            <w:r>
              <w:rPr>
                <w:rFonts w:ascii="Times New Roman" w:hAnsi="Times New Roman"/>
                <w:sz w:val="24"/>
              </w:rPr>
              <w:t xml:space="preserve">Regulas (ES) Nr. 575/2013 4. panta 1. punkta 77) apakšpunkts grāmatvedības bilances vērtība saskaņā ar piemērojamo grāmatvedības regulējumu visiem </w:t>
            </w:r>
            <w:r>
              <w:rPr>
                <w:rFonts w:ascii="Times New Roman" w:hAnsi="Times New Roman"/>
                <w:sz w:val="24"/>
              </w:rPr>
              <w:lastRenderedPageBreak/>
              <w:t>aktīviem, kas nav līgumi, kuri minēti Regulas (ES) Nr. 575/2013 II pielikumā, kredītu atvasinātie instrumenti un VFD.</w:t>
            </w:r>
          </w:p>
        </w:tc>
      </w:tr>
      <w:tr w:rsidR="00410E47" w:rsidRPr="00E75BB8" w14:paraId="2A9CFA05" w14:textId="77777777" w:rsidTr="00FC2664">
        <w:tc>
          <w:tcPr>
            <w:tcW w:w="1418" w:type="dxa"/>
          </w:tcPr>
          <w:p w14:paraId="77B58A02" w14:textId="52063391"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lastRenderedPageBreak/>
              <w:t>{0090;0020}</w:t>
            </w:r>
          </w:p>
        </w:tc>
        <w:tc>
          <w:tcPr>
            <w:tcW w:w="7620" w:type="dxa"/>
          </w:tcPr>
          <w:p w14:paraId="0A7C5F46"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Citi aktīvi – uzskaites vērtība, pieņemot, ka nav savstarpējo prasījumu ieskaita vai citas KRM</w:t>
            </w:r>
          </w:p>
          <w:p w14:paraId="6FFD3E4A" w14:textId="01BB1CE6" w:rsidR="00410E47" w:rsidRDefault="00E20CD8" w:rsidP="00474B43">
            <w:pPr>
              <w:pStyle w:val="BodyText1"/>
              <w:spacing w:after="240" w:line="240" w:lineRule="auto"/>
              <w:rPr>
                <w:rFonts w:ascii="Times New Roman" w:hAnsi="Times New Roman"/>
                <w:bCs/>
                <w:sz w:val="24"/>
                <w:szCs w:val="24"/>
              </w:rPr>
            </w:pPr>
            <w:r>
              <w:rPr>
                <w:rFonts w:ascii="Times New Roman" w:hAnsi="Times New Roman"/>
                <w:sz w:val="24"/>
              </w:rPr>
              <w:t>Regulas (ES) Nr. 575/2013 4. panta 1. punkta 77) apakšpunkts grāmatvedības bilances vērtība saskaņā ar piemērojamo grāmatvedības regulējumu visiem aktīviem, kas nav līgumi, kuri minēti Regulas (ES) Nr. 575/2013 II pielikumā, kredītu atvasinātie instrumenti un VFD, pieņemot, ka nav grāmatvedības savstarpējo prasījumu ieskaita vai citas KRM ietekmes (proti, apvērš jebkādu grāmatvedības savstarpējo prasījumu ieskaita vai KRM ietekmi, kas ietekmējusi uzskaites vērtību).</w:t>
            </w:r>
          </w:p>
          <w:p w14:paraId="398E7EA3" w14:textId="1CC2FD77" w:rsidR="00D1326E" w:rsidRPr="000B66BC" w:rsidRDefault="00D1326E" w:rsidP="00474B43">
            <w:pPr>
              <w:pStyle w:val="BodyText1"/>
              <w:spacing w:after="240" w:line="240" w:lineRule="auto"/>
              <w:rPr>
                <w:rFonts w:ascii="Times New Roman" w:hAnsi="Times New Roman"/>
                <w:b/>
                <w:bCs/>
                <w:sz w:val="24"/>
                <w:szCs w:val="24"/>
                <w:u w:val="single"/>
              </w:rPr>
            </w:pPr>
          </w:p>
        </w:tc>
      </w:tr>
      <w:tr w:rsidR="00D5649D" w:rsidRPr="00E75BB8" w14:paraId="6FD4B7E9" w14:textId="77777777" w:rsidTr="00D5649D">
        <w:tc>
          <w:tcPr>
            <w:tcW w:w="1418" w:type="dxa"/>
            <w:tcBorders>
              <w:top w:val="single" w:sz="4" w:space="0" w:color="auto"/>
              <w:left w:val="single" w:sz="4" w:space="0" w:color="auto"/>
              <w:bottom w:val="single" w:sz="4" w:space="0" w:color="auto"/>
              <w:right w:val="single" w:sz="4" w:space="0" w:color="auto"/>
            </w:tcBorders>
          </w:tcPr>
          <w:p w14:paraId="620B263B" w14:textId="77777777" w:rsidR="00D5649D" w:rsidRPr="000B66BC" w:rsidDel="00764219" w:rsidRDefault="00D5649D" w:rsidP="000B66BC">
            <w:pPr>
              <w:pStyle w:val="BodyText1"/>
              <w:spacing w:after="240"/>
              <w:rPr>
                <w:rFonts w:ascii="Times New Roman" w:hAnsi="Times New Roman"/>
                <w:bCs/>
                <w:sz w:val="24"/>
                <w:szCs w:val="24"/>
              </w:rPr>
            </w:pPr>
            <w:r>
              <w:rPr>
                <w:rFonts w:ascii="Times New Roman" w:hAnsi="Times New Roman"/>
                <w:sz w:val="24"/>
              </w:rPr>
              <w:t>{0095;0070}</w:t>
            </w:r>
          </w:p>
        </w:tc>
        <w:tc>
          <w:tcPr>
            <w:tcW w:w="7620" w:type="dxa"/>
            <w:tcBorders>
              <w:top w:val="single" w:sz="4" w:space="0" w:color="auto"/>
              <w:left w:val="single" w:sz="4" w:space="0" w:color="auto"/>
              <w:bottom w:val="single" w:sz="4" w:space="0" w:color="auto"/>
              <w:right w:val="single" w:sz="4" w:space="0" w:color="auto"/>
            </w:tcBorders>
          </w:tcPr>
          <w:p w14:paraId="60C68604" w14:textId="77777777" w:rsidR="00D5649D" w:rsidRPr="000B66BC" w:rsidRDefault="00D5649D" w:rsidP="000B66BC">
            <w:pPr>
              <w:pStyle w:val="BodyText1"/>
              <w:spacing w:after="240" w:line="240" w:lineRule="auto"/>
              <w:rPr>
                <w:rFonts w:ascii="Times New Roman" w:hAnsi="Times New Roman"/>
                <w:b/>
                <w:bCs/>
                <w:sz w:val="24"/>
                <w:szCs w:val="24"/>
              </w:rPr>
            </w:pPr>
            <w:r>
              <w:rPr>
                <w:rFonts w:ascii="Times New Roman" w:hAnsi="Times New Roman"/>
                <w:b/>
                <w:sz w:val="24"/>
              </w:rPr>
              <w:t>Ārpusbilances posteņi</w:t>
            </w:r>
          </w:p>
          <w:p w14:paraId="76247621" w14:textId="685AAB93" w:rsidR="00D5649D" w:rsidRPr="000B66BC" w:rsidDel="00764219" w:rsidRDefault="00474B43" w:rsidP="000B66BC">
            <w:pPr>
              <w:pStyle w:val="BodyText1"/>
              <w:spacing w:after="240" w:line="240" w:lineRule="auto"/>
              <w:rPr>
                <w:rFonts w:ascii="Times New Roman" w:hAnsi="Times New Roman"/>
                <w:b/>
                <w:bCs/>
                <w:sz w:val="24"/>
                <w:szCs w:val="24"/>
              </w:rPr>
            </w:pPr>
            <w:r>
              <w:rPr>
                <w:rFonts w:ascii="Times New Roman" w:hAnsi="Times New Roman"/>
                <w:sz w:val="24"/>
              </w:rPr>
              <w:t>Iestādes norāda ārpusbilances posteņu nominālvērtību. Šajā šūnā iestādes neņem vērā Regulas (ES) Nr. 575/2013 II pielikumā uzskaitītos kredītu atvasinātos instrumentus un VFD un pozīcijas saskaņā ar Regulas (ES) Nr. 575/2013 429.f pantu.</w:t>
            </w:r>
          </w:p>
        </w:tc>
      </w:tr>
      <w:tr w:rsidR="00410E47" w:rsidRPr="00E75BB8" w14:paraId="0FBB579D" w14:textId="77777777" w:rsidTr="00086398">
        <w:tc>
          <w:tcPr>
            <w:tcW w:w="1418" w:type="dxa"/>
          </w:tcPr>
          <w:p w14:paraId="28FDBFBD" w14:textId="613B5E03"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{0210;0020}</w:t>
            </w:r>
          </w:p>
        </w:tc>
        <w:tc>
          <w:tcPr>
            <w:tcW w:w="7620" w:type="dxa"/>
          </w:tcPr>
          <w:p w14:paraId="29B185C3"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Atvasināto instrumentu darījumos saņemtais naudas nodrošinājums – uzskaites vērtība, pieņemot, ka nav savstarpējo prasījumu ieskaita vai citas KRM</w:t>
            </w:r>
          </w:p>
          <w:p w14:paraId="39EDF297" w14:textId="273BC4C8"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sz w:val="24"/>
              </w:rPr>
              <w:t>Atvasināto instrumentu darījumos saņemtā naudas nodrošinājuma grāmatvedības bilances vērtība saskaņā ar piemērojamo grāmatvedības regulējumu, pieņemot, ka nav grāmatvedības savstarpējo prasījumu ieskaita vai citas KRM ietekmes (proti, apvērš jebkādu grāmatvedības savstarpējo prasījumu ieskaita vai KRM ietekmi, kas ietekmējusi uzskaites vērtību).</w:t>
            </w:r>
          </w:p>
          <w:p w14:paraId="2131D4BF" w14:textId="59EC9867" w:rsidR="00410E47" w:rsidRPr="000B66BC" w:rsidRDefault="00410E47" w:rsidP="00474B43">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Šīs šūnas vajadzībām naudu definē kā naudas kopsummu, ieskaitot monētas un banknotes/valūtu. Noguldījumu kopsumma centrālajās bankās ir iekļauta tādā apmērā, kādā šos noguldījumus var izņemt spriedzes apstākļos. Šajā šūnā iestādes nenorāda naudas noguldījumus citās iestādēs.</w:t>
            </w:r>
          </w:p>
        </w:tc>
      </w:tr>
      <w:tr w:rsidR="00410E47" w:rsidRPr="00E75BB8" w14:paraId="53DF6927" w14:textId="77777777" w:rsidTr="00086398">
        <w:tc>
          <w:tcPr>
            <w:tcW w:w="1418" w:type="dxa"/>
          </w:tcPr>
          <w:p w14:paraId="211CECAA" w14:textId="44AF7167"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{0220;0020}</w:t>
            </w:r>
          </w:p>
        </w:tc>
        <w:tc>
          <w:tcPr>
            <w:tcW w:w="7620" w:type="dxa"/>
          </w:tcPr>
          <w:p w14:paraId="6DB00C4C"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Debitoru parādi par atvasināto instrumentu darījumos iesniegto naudas nodrošinājumu – uzskaites vērtība, pieņemot, ka nav savstarpējo prasījumu ieskaita vai citas KRM</w:t>
            </w:r>
          </w:p>
          <w:p w14:paraId="7D33E862" w14:textId="047F9D4A" w:rsidR="00474B43" w:rsidRDefault="00410E47" w:rsidP="000B66BC">
            <w:pPr>
              <w:pStyle w:val="BodyText1"/>
              <w:spacing w:after="240" w:line="240" w:lineRule="auto"/>
              <w:rPr>
                <w:rFonts w:ascii="Times New Roman" w:hAnsi="Times New Roman"/>
                <w:sz w:val="24"/>
                <w:szCs w:val="24"/>
              </w:rPr>
            </w:pPr>
            <w:r>
              <w:rPr>
                <w:rFonts w:ascii="Times New Roman" w:hAnsi="Times New Roman"/>
                <w:sz w:val="24"/>
              </w:rPr>
              <w:t xml:space="preserve">Grāmatvedības bilances vērtība saskaņā ar piemērojamo grāmatvedības regulējumu debitoru parādiem par naudas nodrošinājumu, kas sniegts par atvasināto instrumentu darījumiem, pieņemot, ka nav grāmatvedības savstarpējo prasījumu ieskaita vai citas KRM ietekmes (proti, apvērš jebkādu grāmatvedības savstarpējo prasījumu ieskaita vai KRM ietekmi, kas ietekmējusi uzskaites vērtību). </w:t>
            </w:r>
          </w:p>
          <w:p w14:paraId="7CD00868" w14:textId="0996E74B"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sz w:val="24"/>
              </w:rPr>
              <w:lastRenderedPageBreak/>
              <w:t>Iestādes, kuras drīkst saskaņā ar piemērojamo grāmatvedības regulējumu veikt debitoru parāda par iesniegto naudas nodrošinājumu savstarpējo prasījumu ieskaitu pret saistīto atvasinātā instrumenta saistību (negatīva patiesā vērtība) un kuras nolemj tā rīkoties, apvērš savstarpējo prasījumu ieskaitu un norāda neto saņemamo summu.</w:t>
            </w:r>
          </w:p>
        </w:tc>
      </w:tr>
      <w:tr w:rsidR="00410E47" w:rsidRPr="00E75BB8" w14:paraId="56CCADD2" w14:textId="77777777" w:rsidTr="00086398">
        <w:tc>
          <w:tcPr>
            <w:tcW w:w="1418" w:type="dxa"/>
          </w:tcPr>
          <w:p w14:paraId="3CD1E23F" w14:textId="2F79B69D"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lastRenderedPageBreak/>
              <w:t>{0230;0020}</w:t>
            </w:r>
          </w:p>
        </w:tc>
        <w:tc>
          <w:tcPr>
            <w:tcW w:w="7620" w:type="dxa"/>
          </w:tcPr>
          <w:p w14:paraId="5AE16600"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VFD saņemtie vērtspapīri, kas atzīti par aktīvu – uzskaites vērtība, pieņemot, ka nav savstarpējo prasījumu ieskaita vai citas KRM</w:t>
            </w:r>
          </w:p>
          <w:p w14:paraId="28A4D6AF" w14:textId="5C43B50B" w:rsidR="00410E47" w:rsidRPr="000B66BC" w:rsidRDefault="00410E47" w:rsidP="00474B43">
            <w:pPr>
              <w:pStyle w:val="BodyText1"/>
              <w:spacing w:after="240" w:line="240" w:lineRule="auto"/>
              <w:rPr>
                <w:rFonts w:ascii="Times New Roman" w:hAnsi="Times New Roman"/>
                <w:b/>
                <w:bCs/>
                <w:sz w:val="24"/>
                <w:szCs w:val="24"/>
              </w:rPr>
            </w:pPr>
            <w:r>
              <w:rPr>
                <w:rFonts w:ascii="Times New Roman" w:hAnsi="Times New Roman"/>
                <w:sz w:val="24"/>
              </w:rPr>
              <w:t>Tādu vērtspapīru grāmatvedības bilances vērtība saskaņā ar piemērojamo grāmatvedības regulējumu, kuri saņemti VFD un atzīti par aktīvu saskaņā ar piemērojamo grāmatvedības regulējumu, pieņemot, ka nav grāmatvedības savstarpējo prasījumu ieskaita vai citas KRM ietekmes (proti, apvērš jebkādu grāmatvedības savstarpējo prasījumu ieskaita vai KRM ietekmi, kas ietekmējusi uzskaites vērtību).</w:t>
            </w:r>
          </w:p>
        </w:tc>
      </w:tr>
      <w:tr w:rsidR="00410E47" w:rsidRPr="00E75BB8" w14:paraId="73AB9A4D" w14:textId="77777777" w:rsidTr="00086398">
        <w:tc>
          <w:tcPr>
            <w:tcW w:w="1418" w:type="dxa"/>
          </w:tcPr>
          <w:p w14:paraId="05353E9D" w14:textId="466C38AA"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{0240;0020}</w:t>
            </w:r>
          </w:p>
        </w:tc>
        <w:tc>
          <w:tcPr>
            <w:tcW w:w="7620" w:type="dxa"/>
          </w:tcPr>
          <w:p w14:paraId="66AFC109" w14:textId="77777777" w:rsidR="00410E47" w:rsidRPr="000B66BC" w:rsidRDefault="00410E4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 xml:space="preserve">VFD naudas </w:t>
            </w:r>
            <w:proofErr w:type="spellStart"/>
            <w:r>
              <w:rPr>
                <w:rFonts w:ascii="Times New Roman" w:hAnsi="Times New Roman"/>
                <w:b/>
                <w:sz w:val="24"/>
              </w:rPr>
              <w:t>konduītu</w:t>
            </w:r>
            <w:proofErr w:type="spellEnd"/>
            <w:r>
              <w:rPr>
                <w:rFonts w:ascii="Times New Roman" w:hAnsi="Times New Roman"/>
                <w:b/>
                <w:sz w:val="24"/>
              </w:rPr>
              <w:t xml:space="preserve"> aizdevums (naudas debitoru parādi) – uzskaites vērtība, pieņemot, ka nav savstarpējo prasījumu ieskaita vai citas KRM</w:t>
            </w:r>
          </w:p>
          <w:p w14:paraId="6B9D4FF6" w14:textId="65358007"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sz w:val="24"/>
              </w:rPr>
              <w:t xml:space="preserve">Naudas debitoru parāda, ko veido nauda, kas tālāk aizdota vērtspapīru īpašniekam atbilstīgā naudas </w:t>
            </w:r>
            <w:proofErr w:type="spellStart"/>
            <w:r>
              <w:rPr>
                <w:rFonts w:ascii="Times New Roman" w:hAnsi="Times New Roman"/>
                <w:sz w:val="24"/>
              </w:rPr>
              <w:t>konduītu</w:t>
            </w:r>
            <w:proofErr w:type="spellEnd"/>
            <w:r>
              <w:rPr>
                <w:rFonts w:ascii="Times New Roman" w:hAnsi="Times New Roman"/>
                <w:sz w:val="24"/>
              </w:rPr>
              <w:t xml:space="preserve"> aizdevumu darījumā (</w:t>
            </w:r>
            <w:r>
              <w:rPr>
                <w:rFonts w:ascii="Times New Roman" w:hAnsi="Times New Roman"/>
                <w:i/>
                <w:iCs/>
                <w:sz w:val="24"/>
              </w:rPr>
              <w:t>CCLT</w:t>
            </w:r>
            <w:r>
              <w:rPr>
                <w:rFonts w:ascii="Times New Roman" w:hAnsi="Times New Roman"/>
                <w:sz w:val="24"/>
              </w:rPr>
              <w:t>), grāmatvedības bilances vērtība saskaņā ar piemērojamo grāmatvedības regulējumu, pieņemot, ka nav grāmatvedības savstarpējo prasījumu ieskaita vai citas KRM ietekmes (proti, apvērš jebkādu grāmatvedības savstarpējo prasījumu ieskaita vai KRM ietekmi, kas ietekmējusi uzskaites vērtību).</w:t>
            </w:r>
          </w:p>
          <w:p w14:paraId="748B124D" w14:textId="5207C935"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sz w:val="24"/>
              </w:rPr>
              <w:t>Šīs šūnas vajadzībām naudu definē kā naudas kopsummu, ieskaitot monētas un banknotes/valūtu. Noguldījumu kopsumma centrālajās bankās ir iekļauta tādā apmērā, kādā šos noguldījumus var izņemt spriedzes apstākļos. Šajā šūnā iestādes nesniedz pārskatu par naudas noguldījumiem citās iestādēs.</w:t>
            </w:r>
          </w:p>
          <w:p w14:paraId="334DF029" w14:textId="53853645"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i/>
                <w:iCs/>
                <w:sz w:val="24"/>
              </w:rPr>
              <w:t>CCLT</w:t>
            </w:r>
            <w:r>
              <w:rPr>
                <w:rFonts w:ascii="Times New Roman" w:hAnsi="Times New Roman"/>
                <w:sz w:val="24"/>
              </w:rPr>
              <w:t xml:space="preserve"> definē kā divu darījumu kombināciju, kurā iestāde aizņemas vērtspapīrus no vērtspapīru īpašnieka un aizdod vērtspapīrus tālāk vērtspapīru aizņēmējam. Vienlaikus iestāde saņem naudas nodrošinājumu no vērtspapīru aizņēmēja un aizdod tālāk saņemto naudu vērtspapīru īpašniekam. Atbilstīgs </w:t>
            </w:r>
            <w:r>
              <w:rPr>
                <w:rFonts w:ascii="Times New Roman" w:hAnsi="Times New Roman"/>
                <w:i/>
                <w:iCs/>
                <w:sz w:val="24"/>
              </w:rPr>
              <w:t>CCLT</w:t>
            </w:r>
            <w:r>
              <w:rPr>
                <w:rFonts w:ascii="Times New Roman" w:hAnsi="Times New Roman"/>
                <w:sz w:val="24"/>
              </w:rPr>
              <w:t xml:space="preserve"> atbilst šādiem nosacījumiem:</w:t>
            </w:r>
          </w:p>
          <w:p w14:paraId="2544528C"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rPr>
              <w:t>a)</w:t>
            </w:r>
            <w:r>
              <w:rPr>
                <w:rFonts w:ascii="Times New Roman" w:hAnsi="Times New Roman"/>
                <w:color w:val="000000"/>
                <w:sz w:val="24"/>
              </w:rPr>
              <w:tab/>
              <w:t xml:space="preserve">abus atsevišķos darījumus, kuros ietilpst atbilstīgais </w:t>
            </w:r>
            <w:r>
              <w:rPr>
                <w:rFonts w:ascii="Times New Roman" w:hAnsi="Times New Roman"/>
                <w:i/>
                <w:iCs/>
                <w:color w:val="000000"/>
                <w:sz w:val="24"/>
              </w:rPr>
              <w:t>CCLT</w:t>
            </w:r>
            <w:r>
              <w:rPr>
                <w:rFonts w:ascii="Times New Roman" w:hAnsi="Times New Roman"/>
                <w:color w:val="000000"/>
                <w:sz w:val="24"/>
              </w:rPr>
              <w:t>, veic vienā tirdzniecības dienā, vai starptautiskus darījumus – tuvākajās darba dienās;</w:t>
            </w:r>
          </w:p>
          <w:p w14:paraId="491F9748"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rPr>
              <w:t>b)</w:t>
            </w:r>
            <w:r>
              <w:rPr>
                <w:rFonts w:ascii="Times New Roman" w:hAnsi="Times New Roman"/>
                <w:color w:val="000000"/>
                <w:sz w:val="24"/>
              </w:rPr>
              <w:tab/>
              <w:t xml:space="preserve">ja ietilpstošajos darījumos nav noteikts termiņš, iestādei ir juridiskas tiesības jebkurā laikā un bez iepriekšēja paziņojuma slēgt kādu no </w:t>
            </w:r>
            <w:r>
              <w:rPr>
                <w:rFonts w:ascii="Times New Roman" w:hAnsi="Times New Roman"/>
                <w:i/>
                <w:iCs/>
                <w:color w:val="000000"/>
                <w:sz w:val="24"/>
              </w:rPr>
              <w:t>CCLT</w:t>
            </w:r>
            <w:r>
              <w:rPr>
                <w:rFonts w:ascii="Times New Roman" w:hAnsi="Times New Roman"/>
                <w:color w:val="000000"/>
                <w:sz w:val="24"/>
              </w:rPr>
              <w:t xml:space="preserve"> pusēm, proti, abus ietilpstošos darījumus;</w:t>
            </w:r>
          </w:p>
          <w:p w14:paraId="5BFB7780"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rPr>
              <w:t>c)</w:t>
            </w:r>
            <w:r>
              <w:rPr>
                <w:rFonts w:ascii="Times New Roman" w:hAnsi="Times New Roman"/>
                <w:color w:val="000000"/>
                <w:sz w:val="24"/>
              </w:rPr>
              <w:tab/>
              <w:t xml:space="preserve">ja ietilpstošajos darījumos ir noteikts termiņš, </w:t>
            </w:r>
            <w:r>
              <w:rPr>
                <w:rFonts w:ascii="Times New Roman" w:hAnsi="Times New Roman"/>
                <w:i/>
                <w:iCs/>
                <w:color w:val="000000"/>
                <w:sz w:val="24"/>
              </w:rPr>
              <w:t>CCLT</w:t>
            </w:r>
            <w:r>
              <w:rPr>
                <w:rFonts w:ascii="Times New Roman" w:hAnsi="Times New Roman"/>
                <w:color w:val="000000"/>
                <w:sz w:val="24"/>
              </w:rPr>
              <w:t xml:space="preserve"> dēļ neveidojas situācija, kad iestādei rodas termiņu nesakritība; iestādei ir juridiskas tiesības jebkurā laikā un bez iepriekšēja paziņojuma slēgt kādu no </w:t>
            </w:r>
            <w:r>
              <w:rPr>
                <w:rFonts w:ascii="Times New Roman" w:hAnsi="Times New Roman"/>
                <w:i/>
                <w:iCs/>
                <w:color w:val="000000"/>
                <w:sz w:val="24"/>
              </w:rPr>
              <w:t>CCLT</w:t>
            </w:r>
            <w:r>
              <w:rPr>
                <w:rFonts w:ascii="Times New Roman" w:hAnsi="Times New Roman"/>
                <w:color w:val="000000"/>
                <w:sz w:val="24"/>
              </w:rPr>
              <w:t xml:space="preserve"> pusēm, kas ir abi ietilpstošie darījumi;</w:t>
            </w:r>
          </w:p>
          <w:p w14:paraId="62CD2905" w14:textId="1AEDC3DC" w:rsidR="00410E47" w:rsidRPr="000B66BC" w:rsidRDefault="00500508" w:rsidP="000B66BC">
            <w:pPr>
              <w:pStyle w:val="Paragraph"/>
              <w:spacing w:after="240"/>
              <w:ind w:left="794" w:hanging="794"/>
              <w:rPr>
                <w:rFonts w:ascii="Times New Roman" w:hAnsi="Times New Roman"/>
                <w:b/>
                <w:bCs/>
                <w:sz w:val="24"/>
                <w:szCs w:val="24"/>
              </w:rPr>
            </w:pPr>
            <w:r>
              <w:rPr>
                <w:rFonts w:ascii="Times New Roman" w:hAnsi="Times New Roman"/>
                <w:sz w:val="24"/>
              </w:rPr>
              <w:lastRenderedPageBreak/>
              <w:t>d)</w:t>
            </w:r>
            <w:r>
              <w:rPr>
                <w:rFonts w:ascii="Times New Roman" w:hAnsi="Times New Roman"/>
                <w:sz w:val="24"/>
              </w:rPr>
              <w:tab/>
              <w:t>tas nerada citus inkrementālus riska darījumus.</w:t>
            </w:r>
          </w:p>
        </w:tc>
      </w:tr>
      <w:tr w:rsidR="00142881" w:rsidRPr="00E75BB8" w14:paraId="12EB77F9" w14:textId="77777777" w:rsidTr="003B3824">
        <w:tc>
          <w:tcPr>
            <w:tcW w:w="1418" w:type="dxa"/>
          </w:tcPr>
          <w:p w14:paraId="2EC98E8B" w14:textId="4055F8C1" w:rsidR="00142881" w:rsidRPr="000B66BC" w:rsidRDefault="00142881" w:rsidP="000B66BC">
            <w:pPr>
              <w:pStyle w:val="BodyText1"/>
              <w:spacing w:after="240"/>
              <w:rPr>
                <w:rFonts w:ascii="Times New Roman" w:hAnsi="Times New Roman"/>
                <w:bCs/>
                <w:sz w:val="24"/>
                <w:szCs w:val="24"/>
              </w:rPr>
            </w:pPr>
            <w:bookmarkStart w:id="57" w:name="_Toc322687882"/>
            <w:bookmarkEnd w:id="51"/>
            <w:r>
              <w:rPr>
                <w:rFonts w:ascii="Times New Roman" w:hAnsi="Times New Roman"/>
                <w:sz w:val="24"/>
              </w:rPr>
              <w:lastRenderedPageBreak/>
              <w:t>{0270;0010}</w:t>
            </w:r>
          </w:p>
        </w:tc>
        <w:tc>
          <w:tcPr>
            <w:tcW w:w="7620" w:type="dxa"/>
          </w:tcPr>
          <w:p w14:paraId="056E429E" w14:textId="1C4A54EB"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Publiskā sektora ieguldījumi – prasījumi pret centrālajām valdībām – grāmatvedības bilances vērtība</w:t>
            </w:r>
          </w:p>
          <w:p w14:paraId="62173A01" w14:textId="7BC7EE77" w:rsidR="00474B43" w:rsidRDefault="00142881" w:rsidP="000B66BC">
            <w:pPr>
              <w:pStyle w:val="BodyText1"/>
              <w:spacing w:after="240" w:line="240" w:lineRule="auto"/>
              <w:rPr>
                <w:rFonts w:ascii="Times New Roman" w:hAnsi="Times New Roman"/>
                <w:bCs/>
                <w:sz w:val="24"/>
                <w:szCs w:val="24"/>
              </w:rPr>
            </w:pPr>
            <w:r>
              <w:rPr>
                <w:rFonts w:ascii="Times New Roman" w:hAnsi="Times New Roman"/>
                <w:sz w:val="24"/>
              </w:rPr>
              <w:t xml:space="preserve">Ja iestāde ir valsts attīstības kredītiestāde – to aktīvu grāmatvedības bilances vērtība saskaņā ar piemērojamo grāmatvedības regulējumu, kuri ir prasījumi pret centrālajām valdībām saistībā ar publiskā sektora ieguldījumiem </w:t>
            </w:r>
          </w:p>
          <w:p w14:paraId="4B86F17F" w14:textId="318E21E8" w:rsidR="00142881" w:rsidRPr="000B66BC" w:rsidRDefault="007A5EF2" w:rsidP="000B66BC">
            <w:pPr>
              <w:pStyle w:val="BodyText1"/>
              <w:spacing w:after="240" w:line="240" w:lineRule="auto"/>
              <w:rPr>
                <w:rFonts w:ascii="Times New Roman" w:hAnsi="Times New Roman"/>
                <w:b/>
                <w:bCs/>
                <w:sz w:val="24"/>
                <w:szCs w:val="24"/>
              </w:rPr>
            </w:pPr>
            <w:r>
              <w:rPr>
                <w:rFonts w:ascii="Times New Roman" w:hAnsi="Times New Roman"/>
                <w:sz w:val="24"/>
              </w:rPr>
              <w:t>Ņem vērā arī tādas iestādes grāmatvedības bilances vērtības, kuru kompetentā iestāde uzskata par valsts attīstības kredītiestādi saskaņā ar KPR 429.a panta 2. punkta pēdējo daļu.</w:t>
            </w:r>
          </w:p>
        </w:tc>
      </w:tr>
      <w:tr w:rsidR="00142881" w:rsidRPr="00E75BB8" w14:paraId="65A561BA" w14:textId="77777777" w:rsidTr="003B3824">
        <w:tc>
          <w:tcPr>
            <w:tcW w:w="1418" w:type="dxa"/>
          </w:tcPr>
          <w:p w14:paraId="6E6645F9" w14:textId="7051B924" w:rsidR="00142881" w:rsidRPr="000B66BC" w:rsidRDefault="00142881" w:rsidP="000B66BC">
            <w:pPr>
              <w:pStyle w:val="BodyText1"/>
              <w:spacing w:after="240"/>
              <w:rPr>
                <w:rFonts w:ascii="Times New Roman" w:hAnsi="Times New Roman"/>
                <w:bCs/>
                <w:sz w:val="24"/>
                <w:szCs w:val="24"/>
              </w:rPr>
            </w:pPr>
            <w:r>
              <w:rPr>
                <w:rFonts w:ascii="Times New Roman" w:hAnsi="Times New Roman"/>
                <w:sz w:val="24"/>
              </w:rPr>
              <w:t>{0280;0010}</w:t>
            </w:r>
          </w:p>
        </w:tc>
        <w:tc>
          <w:tcPr>
            <w:tcW w:w="7620" w:type="dxa"/>
          </w:tcPr>
          <w:p w14:paraId="64975C56" w14:textId="4DD757EC"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Publiskā sektora ieguldījumi – prasījumi pret reģionālajām pašvaldībām – grāmatvedības bilances vērtība</w:t>
            </w:r>
          </w:p>
          <w:p w14:paraId="13E2AB70" w14:textId="21F74962"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 xml:space="preserve">Ja iestāde ir valsts attīstības kredītiestāde – to aktīvu grāmatvedības bilances vērtība saskaņā ar piemērojamo grāmatvedības regulējumu, kuri ir prasījumi pret reģionālajām pašvaldībām saistībā ar publiskā sektora ieguldījumiem </w:t>
            </w:r>
          </w:p>
          <w:p w14:paraId="440096C8" w14:textId="4D2E5EED"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Ņem vērā arī tādas iestādes grāmatvedības bilances vērtības, kuru kompetentā iestāde uzskata par valsts attīstības kredītiestādi saskaņā ar KPR 429.a panta 2. punkta pēdējo daļu.</w:t>
            </w:r>
          </w:p>
        </w:tc>
      </w:tr>
      <w:tr w:rsidR="00142881" w:rsidRPr="00E75BB8" w14:paraId="178B01CC" w14:textId="77777777" w:rsidTr="003B3824">
        <w:tc>
          <w:tcPr>
            <w:tcW w:w="1418" w:type="dxa"/>
          </w:tcPr>
          <w:p w14:paraId="14A30C11" w14:textId="09FC39C8" w:rsidR="00142881" w:rsidRPr="000B66BC" w:rsidRDefault="00142881" w:rsidP="000B66BC">
            <w:pPr>
              <w:pStyle w:val="BodyText1"/>
              <w:spacing w:after="240"/>
              <w:rPr>
                <w:rFonts w:ascii="Times New Roman" w:hAnsi="Times New Roman"/>
                <w:bCs/>
                <w:sz w:val="24"/>
                <w:szCs w:val="24"/>
              </w:rPr>
            </w:pPr>
            <w:r>
              <w:rPr>
                <w:rFonts w:ascii="Times New Roman" w:hAnsi="Times New Roman"/>
                <w:sz w:val="24"/>
              </w:rPr>
              <w:t>{0290;0010}</w:t>
            </w:r>
          </w:p>
        </w:tc>
        <w:tc>
          <w:tcPr>
            <w:tcW w:w="7620" w:type="dxa"/>
          </w:tcPr>
          <w:p w14:paraId="4E12A671" w14:textId="20EE5DA6"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Publiskā sektora ieguldījumi – prasījumi pret vietējām pašpārvaldēm – grāmatvedības bilances vērtība</w:t>
            </w:r>
          </w:p>
          <w:p w14:paraId="1993F59B" w14:textId="77777777"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Ja iestāde ir valsts attīstības kredītiestāde – to aktīvu grāmatvedības bilances vērtība saskaņā ar piemērojamo grāmatvedības regulējumu, kuri ir prasījumi pret vietējām pašpārvaldēm saistībā ar publiskā sektora ieguldījumiem</w:t>
            </w:r>
          </w:p>
          <w:p w14:paraId="3AEC5523" w14:textId="32E213BF"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Ņem vērā arī tādas iestādes grāmatvedības bilances vērtības, kuru kompetentā iestāde uzskata par valsts attīstības kredītiestādi saskaņā ar KPR 429.a panta 2. punkta pēdējo daļu.</w:t>
            </w:r>
          </w:p>
        </w:tc>
      </w:tr>
      <w:tr w:rsidR="00142881" w:rsidRPr="00E75BB8" w14:paraId="6B4A4FFD" w14:textId="77777777" w:rsidTr="003B3824">
        <w:tc>
          <w:tcPr>
            <w:tcW w:w="1418" w:type="dxa"/>
          </w:tcPr>
          <w:p w14:paraId="4AD0C008" w14:textId="06F13C4A" w:rsidR="00142881" w:rsidRPr="000B66BC" w:rsidRDefault="00142881" w:rsidP="000B66BC">
            <w:pPr>
              <w:pStyle w:val="BodyText1"/>
              <w:spacing w:after="240"/>
              <w:rPr>
                <w:rFonts w:ascii="Times New Roman" w:hAnsi="Times New Roman"/>
                <w:bCs/>
                <w:sz w:val="24"/>
                <w:szCs w:val="24"/>
              </w:rPr>
            </w:pPr>
            <w:r>
              <w:rPr>
                <w:rFonts w:ascii="Times New Roman" w:hAnsi="Times New Roman"/>
                <w:sz w:val="24"/>
              </w:rPr>
              <w:t>{0300;0010}</w:t>
            </w:r>
          </w:p>
        </w:tc>
        <w:tc>
          <w:tcPr>
            <w:tcW w:w="7620" w:type="dxa"/>
          </w:tcPr>
          <w:p w14:paraId="00BE052E" w14:textId="3ADFA117" w:rsidR="00142881" w:rsidRPr="000B66BC" w:rsidRDefault="00142881"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Publiskā sektora ieguldījumi – prasījumi pret publiskā sektora struktūrām – grāmatvedības bilances vērtība</w:t>
            </w:r>
          </w:p>
          <w:p w14:paraId="4C818D07" w14:textId="23446733"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Ja iestāde ir valsts attīstības kredītiestāde – to aktīvu grāmatvedības bilances vērtība saskaņā ar piemērojamo grāmatvedības regulējumu, kuri ir prasījumi pret publiskā sektora struktūrām saistībā ar publiskā sektora ieguldījumiem</w:t>
            </w:r>
          </w:p>
          <w:p w14:paraId="7115C598" w14:textId="32973285"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Ņem vērā arī tādas iestādes struktūrvienības grāmatvedības bilances vērtības, kuru kompetentā iestāde uzskata par valsts attīstības kredītiestādi saskaņā ar KPR 429.a panta 2. punkta pēdējo daļu.</w:t>
            </w:r>
          </w:p>
        </w:tc>
      </w:tr>
      <w:tr w:rsidR="00D126C3" w:rsidRPr="00E75BB8" w14:paraId="5655180E" w14:textId="77777777" w:rsidTr="00D126C3">
        <w:tc>
          <w:tcPr>
            <w:tcW w:w="1418" w:type="dxa"/>
            <w:tcBorders>
              <w:top w:val="single" w:sz="4" w:space="0" w:color="auto"/>
              <w:left w:val="single" w:sz="4" w:space="0" w:color="auto"/>
              <w:bottom w:val="single" w:sz="4" w:space="0" w:color="auto"/>
              <w:right w:val="single" w:sz="4" w:space="0" w:color="auto"/>
            </w:tcBorders>
          </w:tcPr>
          <w:p w14:paraId="3373E0CF" w14:textId="68555762" w:rsidR="00D126C3" w:rsidRPr="000B66BC" w:rsidRDefault="00D126C3" w:rsidP="000B66BC">
            <w:pPr>
              <w:pStyle w:val="BodyText1"/>
              <w:spacing w:after="240"/>
              <w:rPr>
                <w:rFonts w:ascii="Times New Roman" w:hAnsi="Times New Roman"/>
                <w:bCs/>
                <w:sz w:val="24"/>
                <w:szCs w:val="24"/>
              </w:rPr>
            </w:pPr>
            <w:r>
              <w:rPr>
                <w:rFonts w:ascii="Times New Roman" w:hAnsi="Times New Roman"/>
                <w:sz w:val="24"/>
              </w:rPr>
              <w:t>{0310;0010}</w:t>
            </w:r>
          </w:p>
        </w:tc>
        <w:tc>
          <w:tcPr>
            <w:tcW w:w="7620" w:type="dxa"/>
            <w:tcBorders>
              <w:top w:val="single" w:sz="4" w:space="0" w:color="auto"/>
              <w:left w:val="single" w:sz="4" w:space="0" w:color="auto"/>
              <w:bottom w:val="single" w:sz="4" w:space="0" w:color="auto"/>
              <w:right w:val="single" w:sz="4" w:space="0" w:color="auto"/>
            </w:tcBorders>
          </w:tcPr>
          <w:p w14:paraId="0E650077" w14:textId="4AFA1485"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Attīstību veicinošie aizdevumi – prasījumi pret centrālajām valdībām – grāmatvedības bilances vērtība</w:t>
            </w:r>
          </w:p>
          <w:p w14:paraId="23369FCD" w14:textId="74E86023" w:rsidR="006E4F4E" w:rsidRDefault="00D126C3"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lastRenderedPageBreak/>
              <w:t xml:space="preserve">Ja iestāde ir valsts attīstības kredītiestāde – to aktīvu grāmatvedības bilances vērtība saskaņā ar piemērojamo grāmatvedības regulējumu, kuri ir prasījumi pret centrālajām valdībām saistībā ar attīstību veicinošiem aizdevumiem </w:t>
            </w:r>
          </w:p>
          <w:p w14:paraId="57D9B72D" w14:textId="5104929D" w:rsidR="00D126C3" w:rsidRPr="000B66BC" w:rsidRDefault="00D126C3"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Ņem vērā arī tādas iestādes struktūrvienības grāmatvedības bilances vērtības, kuru kompetentā iestāde uzskata par valsts attīstības kredītiestādi saskaņā ar KPR 429.a panta 2. punkta pēdējo daļu.</w:t>
            </w:r>
          </w:p>
        </w:tc>
      </w:tr>
      <w:tr w:rsidR="001E5A9A" w:rsidRPr="00E75BB8" w14:paraId="31EDB1F9" w14:textId="77777777" w:rsidTr="00E631B4">
        <w:tc>
          <w:tcPr>
            <w:tcW w:w="1418" w:type="dxa"/>
          </w:tcPr>
          <w:p w14:paraId="1988C1B5" w14:textId="4DEDEE5A" w:rsidR="001E5A9A" w:rsidRPr="000B66BC" w:rsidRDefault="001E5A9A" w:rsidP="000B66BC">
            <w:pPr>
              <w:pStyle w:val="BodyText1"/>
              <w:spacing w:after="240"/>
              <w:rPr>
                <w:rFonts w:ascii="Times New Roman" w:hAnsi="Times New Roman"/>
                <w:bCs/>
                <w:sz w:val="24"/>
                <w:szCs w:val="24"/>
              </w:rPr>
            </w:pPr>
            <w:r>
              <w:rPr>
                <w:rFonts w:ascii="Times New Roman" w:hAnsi="Times New Roman"/>
                <w:sz w:val="24"/>
              </w:rPr>
              <w:lastRenderedPageBreak/>
              <w:t>{0310;0070}</w:t>
            </w:r>
          </w:p>
        </w:tc>
        <w:tc>
          <w:tcPr>
            <w:tcW w:w="7620" w:type="dxa"/>
          </w:tcPr>
          <w:p w14:paraId="63C478B7" w14:textId="76F217EB" w:rsidR="001E5A9A" w:rsidRPr="000B66BC" w:rsidRDefault="001E5A9A"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Attīstību veicinošie aizdevumi – prasījumi pret centrālajām valdībām – nosacītā summa/nominālvērtība</w:t>
            </w:r>
          </w:p>
          <w:p w14:paraId="7A0E36C1" w14:textId="77777777" w:rsidR="006E4F4E" w:rsidRDefault="001E5A9A" w:rsidP="000B66BC">
            <w:pPr>
              <w:pStyle w:val="BodyText1"/>
              <w:spacing w:after="240" w:line="240" w:lineRule="auto"/>
              <w:rPr>
                <w:rFonts w:ascii="Times New Roman" w:hAnsi="Times New Roman"/>
                <w:bCs/>
                <w:sz w:val="24"/>
                <w:szCs w:val="24"/>
              </w:rPr>
            </w:pPr>
            <w:r>
              <w:rPr>
                <w:rFonts w:ascii="Times New Roman" w:hAnsi="Times New Roman"/>
                <w:sz w:val="24"/>
              </w:rPr>
              <w:t>Ja iestāde ir valsts attīstības kredītiestāde – ārpusbilances posteņu nominālvērtība attiecībā uz centrālajām valdībām piešķirto attīstību veicinošo aizdevumu neizmantoto daļu.</w:t>
            </w:r>
          </w:p>
          <w:p w14:paraId="60CCF55C" w14:textId="65935CC3" w:rsidR="001E5A9A" w:rsidRPr="000B66BC" w:rsidRDefault="001E5A9A" w:rsidP="006E4F4E">
            <w:pPr>
              <w:pStyle w:val="BodyText1"/>
              <w:spacing w:after="240" w:line="240" w:lineRule="auto"/>
              <w:rPr>
                <w:rFonts w:ascii="Times New Roman" w:hAnsi="Times New Roman"/>
                <w:b/>
                <w:bCs/>
                <w:sz w:val="24"/>
                <w:szCs w:val="24"/>
              </w:rPr>
            </w:pPr>
            <w:r>
              <w:rPr>
                <w:rFonts w:ascii="Times New Roman" w:hAnsi="Times New Roman"/>
                <w:sz w:val="24"/>
              </w:rPr>
              <w:t>Ņem vērā arī tādas iestādes struktūrvienības nominālvērtības, kuru kompetentā iestāde uzskata par valsts attīstības kredītiestādi saskaņā ar KPR 429.a panta 2. punkta pēdējo daļu.</w:t>
            </w:r>
          </w:p>
        </w:tc>
      </w:tr>
      <w:tr w:rsidR="00D126C3" w:rsidRPr="00E75BB8" w14:paraId="4CD3F0D4" w14:textId="77777777" w:rsidTr="00D126C3">
        <w:tc>
          <w:tcPr>
            <w:tcW w:w="1418" w:type="dxa"/>
            <w:tcBorders>
              <w:top w:val="single" w:sz="4" w:space="0" w:color="auto"/>
              <w:left w:val="single" w:sz="4" w:space="0" w:color="auto"/>
              <w:bottom w:val="single" w:sz="4" w:space="0" w:color="auto"/>
              <w:right w:val="single" w:sz="4" w:space="0" w:color="auto"/>
            </w:tcBorders>
          </w:tcPr>
          <w:p w14:paraId="06D17859" w14:textId="476A44FC" w:rsidR="00D126C3" w:rsidRPr="000B66BC" w:rsidRDefault="00D126C3" w:rsidP="000B66BC">
            <w:pPr>
              <w:pStyle w:val="BodyText1"/>
              <w:spacing w:after="240"/>
              <w:rPr>
                <w:rFonts w:ascii="Times New Roman" w:hAnsi="Times New Roman"/>
                <w:bCs/>
                <w:sz w:val="24"/>
                <w:szCs w:val="24"/>
              </w:rPr>
            </w:pPr>
            <w:r>
              <w:rPr>
                <w:rFonts w:ascii="Times New Roman" w:hAnsi="Times New Roman"/>
                <w:sz w:val="24"/>
              </w:rPr>
              <w:t>{0320;0010}</w:t>
            </w:r>
          </w:p>
        </w:tc>
        <w:tc>
          <w:tcPr>
            <w:tcW w:w="7620" w:type="dxa"/>
            <w:tcBorders>
              <w:top w:val="single" w:sz="4" w:space="0" w:color="auto"/>
              <w:left w:val="single" w:sz="4" w:space="0" w:color="auto"/>
              <w:bottom w:val="single" w:sz="4" w:space="0" w:color="auto"/>
              <w:right w:val="single" w:sz="4" w:space="0" w:color="auto"/>
            </w:tcBorders>
          </w:tcPr>
          <w:p w14:paraId="5AEC1E03" w14:textId="67E09130" w:rsidR="00D126C3" w:rsidRPr="000B66BC" w:rsidRDefault="003B79B4"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Attīstību veicinošie aizdevumi – prasījumi pret reģionālajām pašvaldībām – grāmatvedības bilances vērtība</w:t>
            </w:r>
          </w:p>
          <w:p w14:paraId="23DFAEA6" w14:textId="77777777" w:rsidR="006E4F4E" w:rsidRDefault="00D126C3" w:rsidP="006E4F4E">
            <w:pPr>
              <w:pStyle w:val="BodyText1"/>
              <w:tabs>
                <w:tab w:val="left" w:pos="4755"/>
              </w:tabs>
              <w:spacing w:after="240" w:line="240" w:lineRule="auto"/>
              <w:rPr>
                <w:rFonts w:ascii="Times New Roman" w:hAnsi="Times New Roman"/>
                <w:bCs/>
                <w:sz w:val="24"/>
                <w:szCs w:val="24"/>
              </w:rPr>
            </w:pPr>
            <w:r>
              <w:rPr>
                <w:rFonts w:ascii="Times New Roman" w:hAnsi="Times New Roman"/>
                <w:sz w:val="24"/>
              </w:rPr>
              <w:t>Ja iestāde ir valsts attīstības kredītiestāde – to aktīvu grāmatvedības bilances vērtība saskaņā ar piemērojamo grāmatvedības regulējumu, kuri ir prasījumi pret reģionālajām pašvaldībām saistībā ar attīstību veicinošiem aizdevumiem</w:t>
            </w:r>
          </w:p>
          <w:p w14:paraId="5822DF0E" w14:textId="16DA8EF0"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Ņem vērā arī tādas iestādes struktūrvienības grāmatvedības bilances vērtības, kuru kompetentā iestāde uzskata par valsts attīstības kredītiestādi saskaņā ar KPR 429.a panta 2. punkta pēdējo daļu.</w:t>
            </w:r>
          </w:p>
        </w:tc>
      </w:tr>
      <w:tr w:rsidR="001943A2" w:rsidRPr="00E75BB8" w14:paraId="44874BFB" w14:textId="77777777" w:rsidTr="00E631B4">
        <w:tc>
          <w:tcPr>
            <w:tcW w:w="1418" w:type="dxa"/>
          </w:tcPr>
          <w:p w14:paraId="79CADF8F" w14:textId="0B21C100" w:rsidR="001943A2" w:rsidRPr="000B66BC" w:rsidRDefault="001943A2" w:rsidP="000B66BC">
            <w:pPr>
              <w:pStyle w:val="BodyText1"/>
              <w:spacing w:after="240"/>
              <w:rPr>
                <w:rFonts w:ascii="Times New Roman" w:hAnsi="Times New Roman"/>
                <w:bCs/>
                <w:sz w:val="24"/>
                <w:szCs w:val="24"/>
              </w:rPr>
            </w:pPr>
            <w:r>
              <w:rPr>
                <w:rFonts w:ascii="Times New Roman" w:hAnsi="Times New Roman"/>
                <w:sz w:val="24"/>
              </w:rPr>
              <w:t>{0320;0070}</w:t>
            </w:r>
          </w:p>
        </w:tc>
        <w:tc>
          <w:tcPr>
            <w:tcW w:w="7620" w:type="dxa"/>
          </w:tcPr>
          <w:p w14:paraId="5C83E384" w14:textId="76BED22D"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Attīstību veicinošie aizdevumi – prasījumi pret reģionālajām pašvaldībām – nosacītā summa/nominālvērtība</w:t>
            </w:r>
          </w:p>
          <w:p w14:paraId="645C841D" w14:textId="1E4EDCB5" w:rsidR="006918E9" w:rsidRDefault="001943A2" w:rsidP="000B66BC">
            <w:pPr>
              <w:pStyle w:val="BodyText1"/>
              <w:spacing w:after="240" w:line="240" w:lineRule="auto"/>
              <w:rPr>
                <w:rFonts w:ascii="Times New Roman" w:hAnsi="Times New Roman"/>
                <w:bCs/>
                <w:sz w:val="24"/>
                <w:szCs w:val="24"/>
              </w:rPr>
            </w:pPr>
            <w:r>
              <w:rPr>
                <w:rFonts w:ascii="Times New Roman" w:hAnsi="Times New Roman"/>
                <w:sz w:val="24"/>
              </w:rPr>
              <w:t>Ja iestāde ir valsts attīstības kredītiestāde – ārpusbilances posteņu nominālvērtība attiecībā uz reģionālajām pašvaldībām piešķirto attīstību veicinošo aizdevumu neizmantoto daļu.</w:t>
            </w:r>
          </w:p>
          <w:p w14:paraId="2D66318A" w14:textId="19721B69" w:rsidR="000A486B" w:rsidRPr="000B66BC" w:rsidRDefault="001943A2" w:rsidP="006918E9">
            <w:pPr>
              <w:pStyle w:val="BodyText1"/>
              <w:spacing w:after="240" w:line="240" w:lineRule="auto"/>
              <w:rPr>
                <w:rFonts w:ascii="Times New Roman" w:hAnsi="Times New Roman"/>
                <w:b/>
                <w:bCs/>
                <w:sz w:val="24"/>
                <w:szCs w:val="24"/>
              </w:rPr>
            </w:pPr>
            <w:r>
              <w:rPr>
                <w:rFonts w:ascii="Times New Roman" w:hAnsi="Times New Roman"/>
                <w:sz w:val="24"/>
              </w:rPr>
              <w:t>Ņem vērā arī tādas iestādes struktūrvienības nominālvērtības, kuru kompetentā iestāde uzskata par valsts attīstības kredītiestādi saskaņā ar KPR 429.a panta 2. punkta pēdējo daļu.</w:t>
            </w:r>
          </w:p>
        </w:tc>
      </w:tr>
      <w:tr w:rsidR="00D126C3" w:rsidRPr="00E75BB8" w14:paraId="31B79207" w14:textId="77777777" w:rsidTr="00D126C3">
        <w:tc>
          <w:tcPr>
            <w:tcW w:w="1418" w:type="dxa"/>
            <w:tcBorders>
              <w:top w:val="single" w:sz="4" w:space="0" w:color="auto"/>
              <w:left w:val="single" w:sz="4" w:space="0" w:color="auto"/>
              <w:bottom w:val="single" w:sz="4" w:space="0" w:color="auto"/>
              <w:right w:val="single" w:sz="4" w:space="0" w:color="auto"/>
            </w:tcBorders>
          </w:tcPr>
          <w:p w14:paraId="157AB5A7" w14:textId="6C4B4A9D" w:rsidR="00D126C3" w:rsidRPr="000B66BC" w:rsidRDefault="00D126C3" w:rsidP="000B66BC">
            <w:pPr>
              <w:pStyle w:val="BodyText1"/>
              <w:spacing w:after="240"/>
              <w:rPr>
                <w:rFonts w:ascii="Times New Roman" w:hAnsi="Times New Roman"/>
                <w:bCs/>
                <w:sz w:val="24"/>
                <w:szCs w:val="24"/>
              </w:rPr>
            </w:pPr>
            <w:r>
              <w:rPr>
                <w:rFonts w:ascii="Times New Roman" w:hAnsi="Times New Roman"/>
                <w:sz w:val="24"/>
              </w:rPr>
              <w:t>{0330;0010}</w:t>
            </w:r>
          </w:p>
        </w:tc>
        <w:tc>
          <w:tcPr>
            <w:tcW w:w="7620" w:type="dxa"/>
            <w:tcBorders>
              <w:top w:val="single" w:sz="4" w:space="0" w:color="auto"/>
              <w:left w:val="single" w:sz="4" w:space="0" w:color="auto"/>
              <w:bottom w:val="single" w:sz="4" w:space="0" w:color="auto"/>
              <w:right w:val="single" w:sz="4" w:space="0" w:color="auto"/>
            </w:tcBorders>
          </w:tcPr>
          <w:p w14:paraId="10A9D422" w14:textId="267967C6"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Attīstību veicinošie aizdevumi – prasījumi pret vietējām pašpārvaldēm – grāmatvedības bilances vērtība</w:t>
            </w:r>
          </w:p>
          <w:p w14:paraId="04327041" w14:textId="6CF71B42" w:rsidR="006918E9" w:rsidRDefault="00D126C3"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Ja iestāde ir valsts attīstības kredītiestāde – to aktīvu grāmatvedības bilances vērtība saskaņā ar piemērojamo grāmatvedības regulējumu, kuri ir prasījumi pret vietējām pašpārvaldēm saistībā ar attīstību veicinošiem aizdevumiem</w:t>
            </w:r>
          </w:p>
          <w:p w14:paraId="3B5B1EC0" w14:textId="304F0DBC"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lastRenderedPageBreak/>
              <w:t>Ņem vērā arī tādas iestādes struktūrvienības grāmatvedības bilances vērtības, kuru kompetentā iestāde uzskata par valsts attīstības kredītiestādi saskaņā ar KPR 429.a panta 2. punkta pēdējo daļu.</w:t>
            </w:r>
          </w:p>
        </w:tc>
      </w:tr>
      <w:tr w:rsidR="001943A2" w:rsidRPr="00E75BB8" w14:paraId="0ABE486A" w14:textId="77777777" w:rsidTr="00E631B4">
        <w:tc>
          <w:tcPr>
            <w:tcW w:w="1418" w:type="dxa"/>
          </w:tcPr>
          <w:p w14:paraId="6A69EE0F" w14:textId="4A68D204" w:rsidR="001943A2" w:rsidRPr="000B66BC" w:rsidRDefault="001943A2" w:rsidP="000B66BC">
            <w:pPr>
              <w:pStyle w:val="BodyText1"/>
              <w:spacing w:after="240"/>
              <w:rPr>
                <w:rFonts w:ascii="Times New Roman" w:hAnsi="Times New Roman"/>
                <w:bCs/>
                <w:sz w:val="24"/>
                <w:szCs w:val="24"/>
              </w:rPr>
            </w:pPr>
            <w:r>
              <w:rPr>
                <w:rFonts w:ascii="Times New Roman" w:hAnsi="Times New Roman"/>
                <w:sz w:val="24"/>
              </w:rPr>
              <w:lastRenderedPageBreak/>
              <w:t>{0330;0070}</w:t>
            </w:r>
          </w:p>
        </w:tc>
        <w:tc>
          <w:tcPr>
            <w:tcW w:w="7620" w:type="dxa"/>
          </w:tcPr>
          <w:p w14:paraId="0211D136" w14:textId="747BD7FE"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Attīstību veicinošie aizdevumi – prasījumi pret vietējām pašpārvaldēm – nosacītā summa/nominālvērtība</w:t>
            </w:r>
          </w:p>
          <w:p w14:paraId="38BCF0DC" w14:textId="6D975688" w:rsidR="006918E9" w:rsidRDefault="001943A2" w:rsidP="000B66BC">
            <w:pPr>
              <w:pStyle w:val="BodyText1"/>
              <w:spacing w:after="240" w:line="240" w:lineRule="auto"/>
              <w:rPr>
                <w:rFonts w:ascii="Times New Roman" w:hAnsi="Times New Roman"/>
                <w:bCs/>
                <w:sz w:val="24"/>
                <w:szCs w:val="24"/>
              </w:rPr>
            </w:pPr>
            <w:r>
              <w:rPr>
                <w:rFonts w:ascii="Times New Roman" w:hAnsi="Times New Roman"/>
                <w:sz w:val="24"/>
              </w:rPr>
              <w:t>Ja iestāde ir valsts attīstības kredītiestāde – ārpusbilances posteņu nominālvērtība attiecībā uz vietējām pašpārvaldēm piešķirto attīstību veicinošo aizdevumu neizmantoto daļu.</w:t>
            </w:r>
          </w:p>
          <w:p w14:paraId="4054A803" w14:textId="7D1F66F0" w:rsidR="001943A2" w:rsidRPr="000B66BC" w:rsidRDefault="001943A2" w:rsidP="000B66BC">
            <w:pPr>
              <w:pStyle w:val="BodyText1"/>
              <w:spacing w:after="240" w:line="240" w:lineRule="auto"/>
              <w:rPr>
                <w:rFonts w:ascii="Times New Roman" w:hAnsi="Times New Roman"/>
                <w:b/>
                <w:bCs/>
                <w:sz w:val="24"/>
                <w:szCs w:val="24"/>
              </w:rPr>
            </w:pPr>
            <w:r>
              <w:rPr>
                <w:rFonts w:ascii="Times New Roman" w:hAnsi="Times New Roman"/>
                <w:sz w:val="24"/>
              </w:rPr>
              <w:t>Ņem vērā arī tādas iestādes struktūrvienības nominālvērtības, kuru kompetentā iestāde uzskata par valsts attīstības kredītiestādi saskaņā ar KPR 429.a panta 2. punkta pēdējo daļu.</w:t>
            </w:r>
          </w:p>
        </w:tc>
      </w:tr>
      <w:tr w:rsidR="00D126C3" w:rsidRPr="00E75BB8" w14:paraId="7024E473" w14:textId="77777777" w:rsidTr="00D126C3">
        <w:tc>
          <w:tcPr>
            <w:tcW w:w="1418" w:type="dxa"/>
            <w:tcBorders>
              <w:top w:val="single" w:sz="4" w:space="0" w:color="auto"/>
              <w:left w:val="single" w:sz="4" w:space="0" w:color="auto"/>
              <w:bottom w:val="single" w:sz="4" w:space="0" w:color="auto"/>
              <w:right w:val="single" w:sz="4" w:space="0" w:color="auto"/>
            </w:tcBorders>
          </w:tcPr>
          <w:p w14:paraId="40ECBC43" w14:textId="4FD45966" w:rsidR="00D126C3" w:rsidRPr="000B66BC" w:rsidRDefault="00D126C3" w:rsidP="000B66BC">
            <w:pPr>
              <w:pStyle w:val="BodyText1"/>
              <w:spacing w:after="240"/>
              <w:rPr>
                <w:rFonts w:ascii="Times New Roman" w:hAnsi="Times New Roman"/>
                <w:bCs/>
                <w:sz w:val="24"/>
                <w:szCs w:val="24"/>
              </w:rPr>
            </w:pPr>
            <w:r>
              <w:rPr>
                <w:rFonts w:ascii="Times New Roman" w:hAnsi="Times New Roman"/>
                <w:sz w:val="24"/>
              </w:rPr>
              <w:t>{0340;0010}</w:t>
            </w:r>
          </w:p>
        </w:tc>
        <w:tc>
          <w:tcPr>
            <w:tcW w:w="7620" w:type="dxa"/>
            <w:tcBorders>
              <w:top w:val="single" w:sz="4" w:space="0" w:color="auto"/>
              <w:left w:val="single" w:sz="4" w:space="0" w:color="auto"/>
              <w:bottom w:val="single" w:sz="4" w:space="0" w:color="auto"/>
              <w:right w:val="single" w:sz="4" w:space="0" w:color="auto"/>
            </w:tcBorders>
          </w:tcPr>
          <w:p w14:paraId="5AA9403F" w14:textId="5A0EBB01"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Attīstību veicinošie aizdevumi – prasījumi pret publiskā sektora struktūrām – grāmatvedības bilances vērtība</w:t>
            </w:r>
          </w:p>
          <w:p w14:paraId="01C18437" w14:textId="77777777" w:rsidR="006918E9" w:rsidRDefault="00D126C3" w:rsidP="006918E9">
            <w:pPr>
              <w:pStyle w:val="BodyText1"/>
              <w:tabs>
                <w:tab w:val="left" w:pos="4755"/>
              </w:tabs>
              <w:spacing w:after="240" w:line="240" w:lineRule="auto"/>
              <w:rPr>
                <w:rFonts w:ascii="Times New Roman" w:hAnsi="Times New Roman"/>
                <w:bCs/>
                <w:sz w:val="24"/>
                <w:szCs w:val="24"/>
              </w:rPr>
            </w:pPr>
            <w:r>
              <w:rPr>
                <w:rFonts w:ascii="Times New Roman" w:hAnsi="Times New Roman"/>
                <w:sz w:val="24"/>
              </w:rPr>
              <w:t>Ja iestāde ir valsts attīstības kredītiestāde – to aktīvu grāmatvedības bilances vērtība saskaņā ar piemērojamo grāmatvedības regulējumu, kuri ir prasījumi pret publiskā sektora struktūrām saistībā ar attīstību veicinošiem aizdevumiem</w:t>
            </w:r>
          </w:p>
          <w:p w14:paraId="271873F2" w14:textId="69D63A33"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Ņem vērā arī tādas iestādes struktūrvienības grāmatvedības bilances vērtības, kuru kompetentā iestāde uzskata par valsts attīstības kredītiestādi saskaņā ar KPR 429.a panta 2. punkta pēdējo daļu.</w:t>
            </w:r>
          </w:p>
        </w:tc>
      </w:tr>
      <w:tr w:rsidR="001943A2" w:rsidRPr="00E75BB8" w14:paraId="5E7DDD36" w14:textId="77777777" w:rsidTr="00E631B4">
        <w:tc>
          <w:tcPr>
            <w:tcW w:w="1418" w:type="dxa"/>
          </w:tcPr>
          <w:p w14:paraId="525D124D" w14:textId="765B9FDB" w:rsidR="001943A2" w:rsidRPr="000B66BC" w:rsidRDefault="001943A2" w:rsidP="000B66BC">
            <w:pPr>
              <w:pStyle w:val="BodyText1"/>
              <w:spacing w:after="240"/>
              <w:rPr>
                <w:rFonts w:ascii="Times New Roman" w:hAnsi="Times New Roman"/>
                <w:bCs/>
                <w:sz w:val="24"/>
                <w:szCs w:val="24"/>
              </w:rPr>
            </w:pPr>
            <w:r>
              <w:rPr>
                <w:rFonts w:ascii="Times New Roman" w:hAnsi="Times New Roman"/>
                <w:sz w:val="24"/>
              </w:rPr>
              <w:t>{0340;0070}</w:t>
            </w:r>
          </w:p>
        </w:tc>
        <w:tc>
          <w:tcPr>
            <w:tcW w:w="7620" w:type="dxa"/>
          </w:tcPr>
          <w:p w14:paraId="6383FA4C" w14:textId="78CEFFA7"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Attīstību veicinošie aizdevumi – prasījumi pret publiskā sektora struktūrām – nosacītā summa/nominālvērtība</w:t>
            </w:r>
          </w:p>
          <w:p w14:paraId="5C047141" w14:textId="77777777" w:rsidR="006918E9" w:rsidRDefault="001943A2" w:rsidP="006918E9">
            <w:pPr>
              <w:pStyle w:val="BodyText1"/>
              <w:spacing w:after="240" w:line="240" w:lineRule="auto"/>
              <w:rPr>
                <w:rFonts w:ascii="Times New Roman" w:hAnsi="Times New Roman"/>
                <w:bCs/>
                <w:sz w:val="24"/>
                <w:szCs w:val="24"/>
              </w:rPr>
            </w:pPr>
            <w:r>
              <w:rPr>
                <w:rFonts w:ascii="Times New Roman" w:hAnsi="Times New Roman"/>
                <w:sz w:val="24"/>
              </w:rPr>
              <w:t>Ja iestāde ir valsts attīstības kredītiestāde – ārpusbilances posteņu nominālvērtība attiecībā uz publiskā sektora struktūrām piešķirto attīstību veicinošo aizdevumu neizmantoto daļu.</w:t>
            </w:r>
          </w:p>
          <w:p w14:paraId="28AF0C76" w14:textId="43B760BA" w:rsidR="001943A2" w:rsidRPr="000B66BC" w:rsidRDefault="001943A2" w:rsidP="006918E9">
            <w:pPr>
              <w:pStyle w:val="BodyText1"/>
              <w:spacing w:after="240" w:line="240" w:lineRule="auto"/>
              <w:rPr>
                <w:rFonts w:ascii="Times New Roman" w:hAnsi="Times New Roman"/>
                <w:b/>
                <w:bCs/>
                <w:sz w:val="24"/>
                <w:szCs w:val="24"/>
              </w:rPr>
            </w:pPr>
            <w:r>
              <w:rPr>
                <w:rFonts w:ascii="Times New Roman" w:hAnsi="Times New Roman"/>
                <w:sz w:val="24"/>
              </w:rPr>
              <w:t>Ņem vērā arī tādas iestādes struktūrvienības nominālvērtības, kuru kompetentā iestāde uzskata par valsts attīstības kredītiestādi saskaņā ar KPR 429.a panta 2. punkta pēdējo daļu.</w:t>
            </w:r>
          </w:p>
        </w:tc>
      </w:tr>
      <w:tr w:rsidR="00462408" w:rsidRPr="00E75BB8" w14:paraId="29DF5E7A" w14:textId="77777777" w:rsidTr="00E631B4">
        <w:tc>
          <w:tcPr>
            <w:tcW w:w="1418" w:type="dxa"/>
          </w:tcPr>
          <w:p w14:paraId="1D9C525C" w14:textId="680B64DF" w:rsidR="00462408" w:rsidRPr="000B66BC" w:rsidRDefault="00462408" w:rsidP="000B66BC">
            <w:pPr>
              <w:pStyle w:val="BodyText1"/>
              <w:spacing w:after="240"/>
              <w:rPr>
                <w:rFonts w:ascii="Times New Roman" w:hAnsi="Times New Roman"/>
                <w:bCs/>
                <w:sz w:val="24"/>
                <w:szCs w:val="24"/>
              </w:rPr>
            </w:pPr>
            <w:r>
              <w:rPr>
                <w:rFonts w:ascii="Times New Roman" w:hAnsi="Times New Roman"/>
                <w:sz w:val="24"/>
              </w:rPr>
              <w:t>{0350;0010}</w:t>
            </w:r>
          </w:p>
        </w:tc>
        <w:tc>
          <w:tcPr>
            <w:tcW w:w="7620" w:type="dxa"/>
          </w:tcPr>
          <w:p w14:paraId="3CAFC6DC" w14:textId="096127A3" w:rsidR="00462408" w:rsidRPr="000B66BC" w:rsidRDefault="00462408"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 xml:space="preserve">Attīstību veicinošie aizdevumi – prasījumi pret </w:t>
            </w:r>
            <w:proofErr w:type="spellStart"/>
            <w:r>
              <w:rPr>
                <w:rFonts w:ascii="Times New Roman" w:hAnsi="Times New Roman"/>
                <w:b/>
                <w:sz w:val="24"/>
              </w:rPr>
              <w:t>nefinanšu</w:t>
            </w:r>
            <w:proofErr w:type="spellEnd"/>
            <w:r>
              <w:rPr>
                <w:rFonts w:ascii="Times New Roman" w:hAnsi="Times New Roman"/>
                <w:b/>
                <w:sz w:val="24"/>
              </w:rPr>
              <w:t xml:space="preserve"> sabiedrībām – grāmatvedības bilances vērtība</w:t>
            </w:r>
          </w:p>
          <w:p w14:paraId="38EC1D3F" w14:textId="77777777" w:rsidR="006918E9" w:rsidRDefault="00462408" w:rsidP="006918E9">
            <w:pPr>
              <w:pStyle w:val="BodyText1"/>
              <w:spacing w:after="240" w:line="240" w:lineRule="auto"/>
              <w:rPr>
                <w:rFonts w:ascii="Times New Roman" w:hAnsi="Times New Roman"/>
                <w:bCs/>
                <w:sz w:val="24"/>
                <w:szCs w:val="24"/>
              </w:rPr>
            </w:pPr>
            <w:r>
              <w:rPr>
                <w:rFonts w:ascii="Times New Roman" w:hAnsi="Times New Roman"/>
                <w:sz w:val="24"/>
              </w:rPr>
              <w:t xml:space="preserve">Ja iestāde ir valsts attīstības kredītiestāde – to aktīvu grāmatvedības bilances vērtība saskaņā ar piemērojamo grāmatvedības regulējumu, kuri ir prasījumi pret </w:t>
            </w:r>
            <w:proofErr w:type="spellStart"/>
            <w:r>
              <w:rPr>
                <w:rFonts w:ascii="Times New Roman" w:hAnsi="Times New Roman"/>
                <w:sz w:val="24"/>
              </w:rPr>
              <w:t>nefinanšu</w:t>
            </w:r>
            <w:proofErr w:type="spellEnd"/>
            <w:r>
              <w:rPr>
                <w:rFonts w:ascii="Times New Roman" w:hAnsi="Times New Roman"/>
                <w:sz w:val="24"/>
              </w:rPr>
              <w:t xml:space="preserve"> sabiedrībām saistībā ar attīstību veicinošiem aizdevumiem</w:t>
            </w:r>
          </w:p>
          <w:p w14:paraId="6BF179ED" w14:textId="2C4CB2A0"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sz w:val="24"/>
              </w:rPr>
              <w:t>Ņem vērā arī tādas iestādes struktūrvienības grāmatvedības bilances vērtības, kuru kompetentā iestāde uzskata par valsts attīstības kredītiestādi saskaņā ar KPR 429.a panta 2. punkta pēdējo daļu.</w:t>
            </w:r>
          </w:p>
        </w:tc>
      </w:tr>
      <w:tr w:rsidR="00A7136D" w:rsidRPr="00E75BB8" w14:paraId="12870EEF" w14:textId="77777777" w:rsidTr="00E631B4">
        <w:tc>
          <w:tcPr>
            <w:tcW w:w="1418" w:type="dxa"/>
          </w:tcPr>
          <w:p w14:paraId="79383F04" w14:textId="29554F65" w:rsidR="00A7136D" w:rsidRPr="000B66BC" w:rsidRDefault="00A7136D" w:rsidP="000B66BC">
            <w:pPr>
              <w:pStyle w:val="BodyText1"/>
              <w:spacing w:after="240"/>
              <w:rPr>
                <w:rFonts w:ascii="Times New Roman" w:hAnsi="Times New Roman"/>
                <w:bCs/>
                <w:sz w:val="24"/>
                <w:szCs w:val="24"/>
              </w:rPr>
            </w:pPr>
            <w:r>
              <w:rPr>
                <w:rFonts w:ascii="Times New Roman" w:hAnsi="Times New Roman"/>
                <w:sz w:val="24"/>
              </w:rPr>
              <w:lastRenderedPageBreak/>
              <w:t>{0350;0070}</w:t>
            </w:r>
          </w:p>
        </w:tc>
        <w:tc>
          <w:tcPr>
            <w:tcW w:w="7620" w:type="dxa"/>
          </w:tcPr>
          <w:p w14:paraId="26540368" w14:textId="2C1D23F7" w:rsidR="00A7136D" w:rsidRPr="000B66BC" w:rsidRDefault="00A7136D"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 xml:space="preserve">Attīstību veicinošie aizdevumi – prasījumi pret </w:t>
            </w:r>
            <w:proofErr w:type="spellStart"/>
            <w:r>
              <w:rPr>
                <w:rFonts w:ascii="Times New Roman" w:hAnsi="Times New Roman"/>
                <w:b/>
                <w:sz w:val="24"/>
              </w:rPr>
              <w:t>nefinanšu</w:t>
            </w:r>
            <w:proofErr w:type="spellEnd"/>
            <w:r>
              <w:rPr>
                <w:rFonts w:ascii="Times New Roman" w:hAnsi="Times New Roman"/>
                <w:b/>
                <w:sz w:val="24"/>
              </w:rPr>
              <w:t xml:space="preserve"> sabiedrībām – nosacītā summa/nominālvērtība</w:t>
            </w:r>
          </w:p>
          <w:p w14:paraId="054BF407" w14:textId="212AEBBD" w:rsidR="00A7136D" w:rsidRPr="000B66BC" w:rsidRDefault="00A7136D" w:rsidP="000B66BC">
            <w:pPr>
              <w:pStyle w:val="BodyText1"/>
              <w:spacing w:after="240" w:line="240" w:lineRule="auto"/>
              <w:rPr>
                <w:rFonts w:ascii="Times New Roman" w:hAnsi="Times New Roman"/>
                <w:bCs/>
                <w:sz w:val="24"/>
                <w:szCs w:val="24"/>
              </w:rPr>
            </w:pPr>
            <w:r>
              <w:rPr>
                <w:rFonts w:ascii="Times New Roman" w:hAnsi="Times New Roman"/>
                <w:sz w:val="24"/>
              </w:rPr>
              <w:t xml:space="preserve">Ja iestāde ir valsts attīstības kredītiestāde – ārpusbilances posteņu nominālvērtība attiecībā uz </w:t>
            </w:r>
            <w:proofErr w:type="spellStart"/>
            <w:r>
              <w:rPr>
                <w:rFonts w:ascii="Times New Roman" w:hAnsi="Times New Roman"/>
                <w:sz w:val="24"/>
              </w:rPr>
              <w:t>nefinanšu</w:t>
            </w:r>
            <w:proofErr w:type="spellEnd"/>
            <w:r>
              <w:rPr>
                <w:rFonts w:ascii="Times New Roman" w:hAnsi="Times New Roman"/>
                <w:sz w:val="24"/>
              </w:rPr>
              <w:t xml:space="preserve"> sabiedrībām piešķirto attīstību veicinošo aizdevumu neizmantoto daļu.</w:t>
            </w:r>
          </w:p>
          <w:p w14:paraId="41A92F44" w14:textId="7D39B959" w:rsidR="00A7136D" w:rsidRPr="000B66BC" w:rsidRDefault="00A7136D" w:rsidP="006918E9">
            <w:pPr>
              <w:pStyle w:val="BodyText1"/>
              <w:spacing w:after="240" w:line="240" w:lineRule="auto"/>
              <w:rPr>
                <w:rFonts w:ascii="Times New Roman" w:hAnsi="Times New Roman"/>
                <w:b/>
                <w:bCs/>
                <w:sz w:val="24"/>
                <w:szCs w:val="24"/>
              </w:rPr>
            </w:pPr>
            <w:r>
              <w:rPr>
                <w:rFonts w:ascii="Times New Roman" w:hAnsi="Times New Roman"/>
                <w:sz w:val="24"/>
              </w:rPr>
              <w:t>Ņem vērā arī tādas iestādes struktūrvienības nominālvērtības, kuru kompetentā iestāde uzskata par valsts attīstības kredītiestādi saskaņā ar KPR 429.a panta 2. punkta pēdējo daļu.</w:t>
            </w:r>
          </w:p>
        </w:tc>
      </w:tr>
      <w:tr w:rsidR="00462408" w:rsidRPr="00E75BB8" w14:paraId="1F6E7CB4" w14:textId="77777777" w:rsidTr="00E631B4">
        <w:tc>
          <w:tcPr>
            <w:tcW w:w="1418" w:type="dxa"/>
          </w:tcPr>
          <w:p w14:paraId="6254A862" w14:textId="004992BC" w:rsidR="00462408" w:rsidRPr="000B66BC" w:rsidRDefault="00462408" w:rsidP="000B66BC">
            <w:pPr>
              <w:pStyle w:val="BodyText1"/>
              <w:spacing w:after="240"/>
              <w:rPr>
                <w:rFonts w:ascii="Times New Roman" w:hAnsi="Times New Roman"/>
                <w:bCs/>
                <w:sz w:val="24"/>
                <w:szCs w:val="24"/>
              </w:rPr>
            </w:pPr>
            <w:r>
              <w:rPr>
                <w:rFonts w:ascii="Times New Roman" w:hAnsi="Times New Roman"/>
                <w:sz w:val="24"/>
              </w:rPr>
              <w:t>{0360;0010}</w:t>
            </w:r>
          </w:p>
        </w:tc>
        <w:tc>
          <w:tcPr>
            <w:tcW w:w="7620" w:type="dxa"/>
          </w:tcPr>
          <w:p w14:paraId="1C554FC7" w14:textId="1F3CBF52" w:rsidR="00462408" w:rsidRPr="000B66BC" w:rsidRDefault="00462408"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Attīstību veicinošie aizdevumi – prasījumi pret mājsaimniecībām – grāmatvedības bilances vērtība</w:t>
            </w:r>
          </w:p>
          <w:p w14:paraId="55D67008" w14:textId="77777777" w:rsidR="006918E9" w:rsidRDefault="00462408" w:rsidP="006918E9">
            <w:pPr>
              <w:pStyle w:val="BodyText1"/>
              <w:spacing w:after="240" w:line="240" w:lineRule="auto"/>
              <w:rPr>
                <w:rFonts w:ascii="Times New Roman" w:hAnsi="Times New Roman"/>
                <w:bCs/>
                <w:sz w:val="24"/>
                <w:szCs w:val="24"/>
              </w:rPr>
            </w:pPr>
            <w:r>
              <w:rPr>
                <w:rFonts w:ascii="Times New Roman" w:hAnsi="Times New Roman"/>
                <w:sz w:val="24"/>
              </w:rPr>
              <w:t>Ja iestāde ir valsts attīstības kredītiestāde – to aktīvu grāmatvedības bilances vērtība saskaņā ar piemērojamo grāmatvedības regulējumu, kuri ir prasījumi pret mājsaimniecībām saistībā ar attīstību veicinošiem aizdevumiem</w:t>
            </w:r>
          </w:p>
          <w:p w14:paraId="77B96BEE" w14:textId="794E8F25"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sz w:val="24"/>
              </w:rPr>
              <w:t>Ņem vērā arī tādas iestādes struktūrvienības grāmatvedības bilances vērtības, kuru kompetentā iestāde uzskata par valsts attīstības kredītiestādi saskaņā ar KPR 429.a panta 2. punkta pēdējo daļu.</w:t>
            </w:r>
          </w:p>
        </w:tc>
      </w:tr>
      <w:tr w:rsidR="00D126C3" w:rsidRPr="00E75BB8" w14:paraId="18F55D0D" w14:textId="77777777" w:rsidTr="00E631B4">
        <w:tc>
          <w:tcPr>
            <w:tcW w:w="1418" w:type="dxa"/>
          </w:tcPr>
          <w:p w14:paraId="6CB2C6F3" w14:textId="0D17F3B9" w:rsidR="00D126C3" w:rsidRPr="000B66BC" w:rsidRDefault="00D126C3" w:rsidP="000B66BC">
            <w:pPr>
              <w:pStyle w:val="BodyText1"/>
              <w:spacing w:after="240"/>
              <w:rPr>
                <w:rFonts w:ascii="Times New Roman" w:hAnsi="Times New Roman"/>
                <w:bCs/>
                <w:sz w:val="24"/>
                <w:szCs w:val="24"/>
              </w:rPr>
            </w:pPr>
            <w:r>
              <w:rPr>
                <w:rFonts w:ascii="Times New Roman" w:hAnsi="Times New Roman"/>
                <w:sz w:val="24"/>
              </w:rPr>
              <w:t>{0360;0070}</w:t>
            </w:r>
          </w:p>
        </w:tc>
        <w:tc>
          <w:tcPr>
            <w:tcW w:w="7620" w:type="dxa"/>
          </w:tcPr>
          <w:p w14:paraId="5FFB5CC5" w14:textId="0AFA9088" w:rsidR="00D126C3" w:rsidRPr="000B66BC" w:rsidRDefault="00D126C3"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Attīstību veicinošie aizdevumi – prasījumi pret mājsaimniecībām – nosacītā summa/nominālvērtība</w:t>
            </w:r>
          </w:p>
          <w:p w14:paraId="5C098B17" w14:textId="561EFEA4" w:rsidR="00D126C3" w:rsidRPr="000B66BC" w:rsidRDefault="00D126C3" w:rsidP="000B66BC">
            <w:pPr>
              <w:pStyle w:val="BodyText1"/>
              <w:spacing w:after="240" w:line="240" w:lineRule="auto"/>
              <w:rPr>
                <w:rFonts w:ascii="Times New Roman" w:hAnsi="Times New Roman"/>
                <w:bCs/>
                <w:sz w:val="24"/>
                <w:szCs w:val="24"/>
              </w:rPr>
            </w:pPr>
            <w:r>
              <w:rPr>
                <w:rFonts w:ascii="Times New Roman" w:hAnsi="Times New Roman"/>
                <w:sz w:val="24"/>
              </w:rPr>
              <w:t>Ja iestāde ir valsts attīstības kredītiestāde – ārpusbilances posteņu nominālvērtība attiecībā uz mājsaimniecībām piešķirto attīstību veicinošo aizdevumu neizmantoto daļu.</w:t>
            </w:r>
          </w:p>
          <w:p w14:paraId="635041B3" w14:textId="7B16BC5F" w:rsidR="00D126C3" w:rsidRPr="000B66BC" w:rsidRDefault="00D126C3" w:rsidP="006918E9">
            <w:pPr>
              <w:pStyle w:val="BodyText1"/>
              <w:spacing w:after="240" w:line="240" w:lineRule="auto"/>
              <w:rPr>
                <w:rFonts w:ascii="Times New Roman" w:hAnsi="Times New Roman"/>
                <w:b/>
                <w:bCs/>
                <w:sz w:val="24"/>
                <w:szCs w:val="24"/>
              </w:rPr>
            </w:pPr>
            <w:r>
              <w:rPr>
                <w:rFonts w:ascii="Times New Roman" w:hAnsi="Times New Roman"/>
                <w:sz w:val="24"/>
              </w:rPr>
              <w:t>Ņem vērā arī tādas iestādes struktūrvienības nominālvērtības, kuru kompetentā iestāde uzskata par valsts attīstības kredītiestādi saskaņā ar KPR 429.a panta 2. punkta pēdējo daļu.</w:t>
            </w:r>
          </w:p>
        </w:tc>
      </w:tr>
      <w:tr w:rsidR="00462408" w:rsidRPr="00E75BB8" w14:paraId="44E1C677" w14:textId="77777777" w:rsidTr="00E631B4">
        <w:tc>
          <w:tcPr>
            <w:tcW w:w="1418" w:type="dxa"/>
          </w:tcPr>
          <w:p w14:paraId="17FF7A37" w14:textId="4D384D9C" w:rsidR="00462408" w:rsidRPr="000B66BC" w:rsidRDefault="00462408" w:rsidP="000B66BC">
            <w:pPr>
              <w:pStyle w:val="BodyText1"/>
              <w:spacing w:after="240"/>
              <w:rPr>
                <w:rFonts w:ascii="Times New Roman" w:hAnsi="Times New Roman"/>
                <w:bCs/>
                <w:sz w:val="24"/>
                <w:szCs w:val="24"/>
              </w:rPr>
            </w:pPr>
            <w:r>
              <w:rPr>
                <w:rFonts w:ascii="Times New Roman" w:hAnsi="Times New Roman"/>
                <w:sz w:val="24"/>
              </w:rPr>
              <w:t>{0370;0010}</w:t>
            </w:r>
          </w:p>
        </w:tc>
        <w:tc>
          <w:tcPr>
            <w:tcW w:w="7620" w:type="dxa"/>
          </w:tcPr>
          <w:p w14:paraId="3F005630" w14:textId="77777777" w:rsidR="00462408" w:rsidRPr="000B66BC" w:rsidRDefault="00462408"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Attīstību veicinošie aizdevumi – pastarpināšana – grāmatvedības bilances vērtība</w:t>
            </w:r>
          </w:p>
          <w:p w14:paraId="77AE875C" w14:textId="77777777" w:rsidR="006918E9" w:rsidRDefault="00462408" w:rsidP="006918E9">
            <w:pPr>
              <w:pStyle w:val="BodyText1"/>
              <w:spacing w:after="240" w:line="240" w:lineRule="auto"/>
              <w:rPr>
                <w:rFonts w:ascii="Times New Roman" w:hAnsi="Times New Roman"/>
                <w:color w:val="auto"/>
                <w:sz w:val="24"/>
                <w:szCs w:val="24"/>
              </w:rPr>
            </w:pPr>
            <w:r>
              <w:rPr>
                <w:rFonts w:ascii="Times New Roman" w:hAnsi="Times New Roman"/>
                <w:sz w:val="24"/>
              </w:rPr>
              <w:t>Ja iestāde ir valsts attīstības kredītiestāde – pastarpināto, attīstību veicinošo aizdevumu grāmatvedības bilances vērtība saskaņā ar piemērojamo grāmatvedības regulējumu, ja attīstību veicinošos aizdevumus nav piešķīrusi pati iestāde</w:t>
            </w:r>
          </w:p>
          <w:p w14:paraId="13D74794" w14:textId="2A0E0A51"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sz w:val="24"/>
              </w:rPr>
              <w:t>Ņem vērā arī tādas iestādes struktūrvienības grāmatvedības bilances vērtības, kuru kompetentā iestāde uzskata par valsts attīstības kredītiestādi saskaņā ar KPR 429.a panta 2. punkta pēdējo daļu.</w:t>
            </w:r>
          </w:p>
        </w:tc>
      </w:tr>
      <w:tr w:rsidR="004A107B" w:rsidRPr="00E75BB8" w14:paraId="09331359" w14:textId="77777777" w:rsidTr="00E631B4">
        <w:tc>
          <w:tcPr>
            <w:tcW w:w="1418" w:type="dxa"/>
          </w:tcPr>
          <w:p w14:paraId="073777C0" w14:textId="772CDEDA" w:rsidR="004A107B" w:rsidRPr="000B66BC" w:rsidRDefault="004A107B" w:rsidP="000B66BC">
            <w:pPr>
              <w:pStyle w:val="BodyText1"/>
              <w:spacing w:after="240"/>
              <w:rPr>
                <w:rFonts w:ascii="Times New Roman" w:hAnsi="Times New Roman"/>
                <w:bCs/>
                <w:sz w:val="24"/>
                <w:szCs w:val="24"/>
                <w:highlight w:val="yellow"/>
              </w:rPr>
            </w:pPr>
            <w:r>
              <w:rPr>
                <w:rFonts w:ascii="Times New Roman" w:hAnsi="Times New Roman"/>
                <w:sz w:val="24"/>
              </w:rPr>
              <w:t>{0370;0070}</w:t>
            </w:r>
          </w:p>
        </w:tc>
        <w:tc>
          <w:tcPr>
            <w:tcW w:w="7620" w:type="dxa"/>
          </w:tcPr>
          <w:p w14:paraId="0CA54233" w14:textId="2370225D" w:rsidR="004A107B" w:rsidRPr="000B66BC" w:rsidRDefault="004A107B"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Attīstību veicinošie aizdevumi – pastarpināšana – nosacītā summa/nominālvērtība</w:t>
            </w:r>
          </w:p>
          <w:p w14:paraId="67DCF513" w14:textId="77777777" w:rsidR="006918E9" w:rsidRDefault="004A107B" w:rsidP="006918E9">
            <w:pPr>
              <w:pStyle w:val="BodyText1"/>
              <w:spacing w:after="240" w:line="240" w:lineRule="auto"/>
              <w:rPr>
                <w:rFonts w:ascii="Times New Roman" w:hAnsi="Times New Roman"/>
                <w:color w:val="auto"/>
                <w:sz w:val="24"/>
                <w:szCs w:val="24"/>
              </w:rPr>
            </w:pPr>
            <w:r>
              <w:rPr>
                <w:rFonts w:ascii="Times New Roman" w:hAnsi="Times New Roman"/>
                <w:sz w:val="24"/>
              </w:rPr>
              <w:t xml:space="preserve">Ja iestāde ir valsts attīstības kredītiestāde – ārpusbilances posteņu nominālvērtība attiecībā uz pastarpināto, attīstību veicinošo aizdevumu </w:t>
            </w:r>
            <w:r>
              <w:rPr>
                <w:rFonts w:ascii="Times New Roman" w:hAnsi="Times New Roman"/>
                <w:sz w:val="24"/>
              </w:rPr>
              <w:lastRenderedPageBreak/>
              <w:t>neizmantoto daļu, ja attīstību veicinošos aizdevumus nav piešķīrusi pati iestāde</w:t>
            </w:r>
          </w:p>
          <w:p w14:paraId="75F9BF76" w14:textId="0F97AE35" w:rsidR="004A107B" w:rsidRPr="000B66BC" w:rsidRDefault="0033642B" w:rsidP="006918E9">
            <w:pPr>
              <w:pStyle w:val="BodyText1"/>
              <w:spacing w:after="240" w:line="240" w:lineRule="auto"/>
              <w:rPr>
                <w:rFonts w:ascii="Times New Roman" w:hAnsi="Times New Roman"/>
                <w:b/>
                <w:bCs/>
                <w:sz w:val="24"/>
                <w:szCs w:val="24"/>
              </w:rPr>
            </w:pPr>
            <w:r>
              <w:rPr>
                <w:rFonts w:ascii="Times New Roman" w:hAnsi="Times New Roman"/>
                <w:sz w:val="24"/>
              </w:rPr>
              <w:t>Ņem vērā arī tādas iestādes struktūrvienības nominālvērtības, kuru kompetentā iestāde uzskata par valsts attīstības kredītiestādi saskaņā ar KPR 429.a panta 2. punkta pēdējo daļu.</w:t>
            </w:r>
          </w:p>
        </w:tc>
      </w:tr>
      <w:tr w:rsidR="00703CC2" w:rsidRPr="00E75BB8" w14:paraId="5432666E" w14:textId="77777777" w:rsidTr="000C01E8">
        <w:tc>
          <w:tcPr>
            <w:tcW w:w="1418" w:type="dxa"/>
            <w:tcBorders>
              <w:top w:val="single" w:sz="4" w:space="0" w:color="auto"/>
              <w:left w:val="single" w:sz="4" w:space="0" w:color="auto"/>
              <w:bottom w:val="single" w:sz="4" w:space="0" w:color="auto"/>
              <w:right w:val="single" w:sz="4" w:space="0" w:color="auto"/>
            </w:tcBorders>
          </w:tcPr>
          <w:p w14:paraId="17AAFB29" w14:textId="23478B5E" w:rsidR="00703CC2" w:rsidRPr="000B66BC" w:rsidRDefault="007F3838" w:rsidP="000B66BC">
            <w:pPr>
              <w:pStyle w:val="BodyText1"/>
              <w:spacing w:after="240"/>
              <w:rPr>
                <w:rFonts w:ascii="Times New Roman" w:hAnsi="Times New Roman"/>
                <w:bCs/>
                <w:sz w:val="24"/>
                <w:szCs w:val="24"/>
              </w:rPr>
            </w:pPr>
            <w:r>
              <w:rPr>
                <w:rFonts w:ascii="Times New Roman" w:hAnsi="Times New Roman"/>
                <w:sz w:val="24"/>
              </w:rPr>
              <w:lastRenderedPageBreak/>
              <w:t>{0380;0010}</w:t>
            </w:r>
          </w:p>
        </w:tc>
        <w:tc>
          <w:tcPr>
            <w:tcW w:w="7620" w:type="dxa"/>
            <w:tcBorders>
              <w:top w:val="single" w:sz="4" w:space="0" w:color="auto"/>
              <w:left w:val="single" w:sz="4" w:space="0" w:color="auto"/>
              <w:bottom w:val="single" w:sz="4" w:space="0" w:color="auto"/>
              <w:right w:val="single" w:sz="4" w:space="0" w:color="auto"/>
            </w:tcBorders>
          </w:tcPr>
          <w:p w14:paraId="6B9DA2BC" w14:textId="0B7E2413" w:rsidR="00703CC2" w:rsidRPr="000B66BC" w:rsidRDefault="00703CC2"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Centrālās bankas riska darījumi – grāmatvedības bilances vērtība</w:t>
            </w:r>
          </w:p>
          <w:p w14:paraId="68FD6F4B" w14:textId="013AB044" w:rsidR="007F3838" w:rsidRPr="000B66BC" w:rsidRDefault="007F3838"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Iestādes saskaņā ar piemērojamo grāmatvedības regulējumu norāda vērtību šādiem riska darījumiem ar iestādes centrālo banku: i) monētas un banknotes, kas ir likumīgā valūta centrālās bankas jurisdikcijā; ii) aktīvus, kas ir prasījumi pret centrālo banku, tostarp centrālajā bankā turētās rezerves.</w:t>
            </w:r>
          </w:p>
          <w:p w14:paraId="6DEE1984" w14:textId="4388DF7E" w:rsidR="009F67E9" w:rsidRPr="000B66BC" w:rsidRDefault="007F3838"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 xml:space="preserve">Iestādes iekļauj tikai tādus riska darījumus, kas atbilst abiem šiem nosacījumiem: a) tie ir </w:t>
            </w:r>
            <w:proofErr w:type="spellStart"/>
            <w:r>
              <w:rPr>
                <w:rFonts w:ascii="Times New Roman" w:hAnsi="Times New Roman"/>
                <w:sz w:val="24"/>
              </w:rPr>
              <w:t>denominēti</w:t>
            </w:r>
            <w:proofErr w:type="spellEnd"/>
            <w:r>
              <w:rPr>
                <w:rFonts w:ascii="Times New Roman" w:hAnsi="Times New Roman"/>
                <w:sz w:val="24"/>
              </w:rPr>
              <w:t xml:space="preserve"> tajā pašā valūtā kā iestādes pieņemtie noguldījumi; b) to vidējais termiņš ievērojami nepārsniedz iestādes pieņemto noguldījumu vidējo termiņu.</w:t>
            </w:r>
          </w:p>
          <w:p w14:paraId="1572123D" w14:textId="79750841" w:rsidR="007F3838" w:rsidRPr="000B66BC" w:rsidRDefault="009F67E9" w:rsidP="000B66BC">
            <w:pPr>
              <w:pStyle w:val="BodyText1"/>
              <w:spacing w:after="240" w:line="240" w:lineRule="auto"/>
              <w:rPr>
                <w:rFonts w:ascii="Times New Roman" w:hAnsi="Times New Roman"/>
                <w:b/>
                <w:bCs/>
                <w:sz w:val="24"/>
                <w:szCs w:val="24"/>
              </w:rPr>
            </w:pPr>
            <w:r>
              <w:rPr>
                <w:rFonts w:ascii="Times New Roman" w:hAnsi="Times New Roman"/>
                <w:sz w:val="24"/>
              </w:rPr>
              <w:t>Iestādes šos riska darījumus uzrāda neatkarīgi no tā, vai tie ir atbrīvoti no iekļaušanas kopējās riska darījumu vērtības mērā saskaņā ar Regulas (ES) Nr. 575/2013 429.a panta 5. un 6. punktu.</w:t>
            </w:r>
          </w:p>
        </w:tc>
      </w:tr>
      <w:tr w:rsidR="00086398" w:rsidRPr="00E75BB8" w14:paraId="2FC50208" w14:textId="77777777" w:rsidTr="00086398">
        <w:tc>
          <w:tcPr>
            <w:tcW w:w="1418" w:type="dxa"/>
            <w:tcBorders>
              <w:top w:val="single" w:sz="4" w:space="0" w:color="auto"/>
              <w:left w:val="single" w:sz="4" w:space="0" w:color="auto"/>
              <w:bottom w:val="single" w:sz="4" w:space="0" w:color="auto"/>
              <w:right w:val="single" w:sz="4" w:space="0" w:color="auto"/>
            </w:tcBorders>
          </w:tcPr>
          <w:p w14:paraId="035C2019" w14:textId="77777777" w:rsidR="00086398" w:rsidRPr="000B66BC" w:rsidRDefault="00086398" w:rsidP="000B66BC">
            <w:pPr>
              <w:pStyle w:val="BodyText1"/>
              <w:spacing w:after="240"/>
              <w:rPr>
                <w:rFonts w:ascii="Times New Roman" w:hAnsi="Times New Roman"/>
                <w:bCs/>
                <w:sz w:val="24"/>
                <w:szCs w:val="24"/>
              </w:rPr>
            </w:pPr>
            <w:r>
              <w:rPr>
                <w:rFonts w:ascii="Times New Roman" w:hAnsi="Times New Roman"/>
                <w:sz w:val="24"/>
              </w:rPr>
              <w:t>{0390;0140}</w:t>
            </w:r>
          </w:p>
        </w:tc>
        <w:tc>
          <w:tcPr>
            <w:tcW w:w="7620" w:type="dxa"/>
            <w:tcBorders>
              <w:top w:val="single" w:sz="4" w:space="0" w:color="auto"/>
              <w:left w:val="single" w:sz="4" w:space="0" w:color="auto"/>
              <w:bottom w:val="single" w:sz="4" w:space="0" w:color="auto"/>
              <w:right w:val="single" w:sz="4" w:space="0" w:color="auto"/>
            </w:tcBorders>
          </w:tcPr>
          <w:p w14:paraId="61B3D8C3" w14:textId="1C344E74"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Centrālās bankas riska darījumu vērtība, ko izmanto KPR 429.a panta 7. punktā minētās koriģētās sviras rādītāja prasības aprēķināšanai – riska darījumu vērtības mērs</w:t>
            </w:r>
          </w:p>
          <w:p w14:paraId="0EDC2D5D" w14:textId="0F8FC5EF"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Dienas vidējā kopējā vērtība iestādes riska darījumiem ar tās centrālo banku, ko aprēķina visā centrālās bankas rezervju prasību izpildes periodā tieši pirms Regulas (ES) Nr. 575/2013 429.a panta 5. punkta c) apakšpunktā minētā datuma, un kurus var izslēgt saskaņā ar Regulas (ES) Nr. 575/2013 429.a panta 1. punkta n) apakšpunktu.</w:t>
            </w:r>
          </w:p>
        </w:tc>
      </w:tr>
      <w:tr w:rsidR="00086398" w:rsidRPr="00E75BB8" w14:paraId="49595092" w14:textId="77777777" w:rsidTr="00086398">
        <w:tc>
          <w:tcPr>
            <w:tcW w:w="1418" w:type="dxa"/>
            <w:tcBorders>
              <w:top w:val="single" w:sz="4" w:space="0" w:color="auto"/>
              <w:left w:val="single" w:sz="4" w:space="0" w:color="auto"/>
              <w:bottom w:val="single" w:sz="4" w:space="0" w:color="auto"/>
              <w:right w:val="single" w:sz="4" w:space="0" w:color="auto"/>
            </w:tcBorders>
          </w:tcPr>
          <w:p w14:paraId="33EBBE0E" w14:textId="77777777" w:rsidR="00086398" w:rsidRPr="000B66BC" w:rsidRDefault="00086398" w:rsidP="000B66BC">
            <w:pPr>
              <w:pStyle w:val="BodyText1"/>
              <w:spacing w:after="240"/>
              <w:rPr>
                <w:rFonts w:ascii="Times New Roman" w:hAnsi="Times New Roman"/>
                <w:bCs/>
                <w:sz w:val="24"/>
                <w:szCs w:val="24"/>
              </w:rPr>
            </w:pPr>
            <w:r>
              <w:rPr>
                <w:rFonts w:ascii="Times New Roman" w:hAnsi="Times New Roman"/>
                <w:sz w:val="24"/>
              </w:rPr>
              <w:t>{0400;0140}</w:t>
            </w:r>
          </w:p>
        </w:tc>
        <w:tc>
          <w:tcPr>
            <w:tcW w:w="7620" w:type="dxa"/>
            <w:tcBorders>
              <w:top w:val="single" w:sz="4" w:space="0" w:color="auto"/>
              <w:left w:val="single" w:sz="4" w:space="0" w:color="auto"/>
              <w:bottom w:val="single" w:sz="4" w:space="0" w:color="auto"/>
              <w:right w:val="single" w:sz="4" w:space="0" w:color="auto"/>
            </w:tcBorders>
          </w:tcPr>
          <w:p w14:paraId="78B454B7" w14:textId="0BDD4F96"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Riska darījumu vērtības mērs, ko izmanto KPR 429.a panta 7. punktā minētās koriģētās sviras rādītāja prasības aprēķināšanai  – riska darījumu vērtības mērs</w:t>
            </w:r>
          </w:p>
          <w:p w14:paraId="7F49B2B2" w14:textId="6908FD98" w:rsidR="000A486B" w:rsidRPr="000B66BC" w:rsidRDefault="00DD51E7"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Iestādes kopējās riska darījumu vērtības mērs, kā noteikts Regulas (ES) Nr. 575/2013 429. panta 4. punktā, ieskaitot visus riska darījumus, kas izslēgti saskaņā ar Regulas (ES) Nr. 575/2013 429. panta 1. punkta n) apakšpunktu, Regulas (ES) Nr. 575/2013 429.a panta 5. punkta c) apakšpunktā minētajā datumā.</w:t>
            </w:r>
          </w:p>
        </w:tc>
      </w:tr>
      <w:tr w:rsidR="000C01E8" w:rsidRPr="00E75BB8" w14:paraId="2AF78942" w14:textId="77777777" w:rsidTr="000C01E8">
        <w:tc>
          <w:tcPr>
            <w:tcW w:w="1418" w:type="dxa"/>
            <w:tcBorders>
              <w:top w:val="single" w:sz="4" w:space="0" w:color="auto"/>
              <w:left w:val="single" w:sz="4" w:space="0" w:color="auto"/>
              <w:bottom w:val="single" w:sz="4" w:space="0" w:color="auto"/>
              <w:right w:val="single" w:sz="4" w:space="0" w:color="auto"/>
            </w:tcBorders>
          </w:tcPr>
          <w:p w14:paraId="09A1ECA9" w14:textId="5DFC5643" w:rsidR="000C01E8" w:rsidRPr="000B66BC" w:rsidRDefault="000C01E8" w:rsidP="000B66BC">
            <w:pPr>
              <w:pStyle w:val="BodyText1"/>
              <w:spacing w:after="240"/>
              <w:rPr>
                <w:rFonts w:ascii="Times New Roman" w:hAnsi="Times New Roman"/>
                <w:bCs/>
                <w:sz w:val="24"/>
                <w:szCs w:val="24"/>
              </w:rPr>
            </w:pPr>
            <w:r>
              <w:rPr>
                <w:rFonts w:ascii="Times New Roman" w:hAnsi="Times New Roman"/>
                <w:sz w:val="24"/>
              </w:rPr>
              <w:t>{0410;0010}</w:t>
            </w:r>
          </w:p>
        </w:tc>
        <w:tc>
          <w:tcPr>
            <w:tcW w:w="7620" w:type="dxa"/>
            <w:tcBorders>
              <w:top w:val="single" w:sz="4" w:space="0" w:color="auto"/>
              <w:left w:val="single" w:sz="4" w:space="0" w:color="auto"/>
              <w:bottom w:val="single" w:sz="4" w:space="0" w:color="auto"/>
              <w:right w:val="single" w:sz="4" w:space="0" w:color="auto"/>
            </w:tcBorders>
          </w:tcPr>
          <w:p w14:paraId="2400C592" w14:textId="77777777" w:rsidR="000C01E8" w:rsidRPr="000B66BC" w:rsidRDefault="000C01E8"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 xml:space="preserve">Aktīvi kopā </w:t>
            </w:r>
          </w:p>
          <w:p w14:paraId="6B941506" w14:textId="67257FB8" w:rsidR="00086398" w:rsidRPr="000B66BC" w:rsidRDefault="000C01E8"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Iestādes šajā postenī uzrāda kopējos aktīvus, ievērojot tvērumu, kas izmantots publicētajos finanšu pārskatos.</w:t>
            </w:r>
          </w:p>
        </w:tc>
      </w:tr>
    </w:tbl>
    <w:p w14:paraId="03B5554A" w14:textId="77777777" w:rsidR="00462408" w:rsidRPr="000B66BC" w:rsidRDefault="00462408" w:rsidP="000B66BC">
      <w:pPr>
        <w:pStyle w:val="BodyText1"/>
        <w:spacing w:after="240"/>
        <w:rPr>
          <w:rFonts w:ascii="Times New Roman" w:hAnsi="Times New Roman"/>
          <w:b/>
          <w:sz w:val="24"/>
          <w:szCs w:val="24"/>
        </w:rPr>
      </w:pPr>
      <w:bookmarkStart w:id="58" w:name="_Toc338669922"/>
      <w:bookmarkStart w:id="59" w:name="_Toc338669923"/>
      <w:bookmarkStart w:id="60" w:name="_Toc338669924"/>
      <w:bookmarkStart w:id="61" w:name="_Toc338669925"/>
      <w:bookmarkStart w:id="62" w:name="_Toc338669926"/>
      <w:bookmarkStart w:id="63" w:name="_Toc338669927"/>
      <w:bookmarkStart w:id="64" w:name="_Toc338669928"/>
      <w:bookmarkEnd w:id="58"/>
      <w:bookmarkEnd w:id="59"/>
      <w:bookmarkEnd w:id="60"/>
      <w:bookmarkEnd w:id="61"/>
      <w:bookmarkEnd w:id="62"/>
      <w:bookmarkEnd w:id="63"/>
      <w:bookmarkEnd w:id="64"/>
    </w:p>
    <w:p w14:paraId="5E95AFC7" w14:textId="71198216" w:rsidR="00217D1F" w:rsidRPr="000B66BC" w:rsidRDefault="005F4574" w:rsidP="000B66BC">
      <w:pPr>
        <w:pStyle w:val="BodyText1"/>
        <w:spacing w:after="240"/>
        <w:ind w:left="357" w:hanging="357"/>
        <w:outlineLvl w:val="1"/>
        <w:rPr>
          <w:rFonts w:ascii="Times New Roman" w:hAnsi="Times New Roman"/>
          <w:b/>
          <w:sz w:val="24"/>
          <w:szCs w:val="24"/>
        </w:rPr>
      </w:pPr>
      <w:bookmarkStart w:id="65" w:name="_Toc338669914"/>
      <w:bookmarkStart w:id="66" w:name="_Toc338669915"/>
      <w:bookmarkStart w:id="67" w:name="_Toc338669918"/>
      <w:bookmarkStart w:id="68" w:name="_Toc322687900"/>
      <w:bookmarkStart w:id="69" w:name="_Toc351048510"/>
      <w:bookmarkStart w:id="70" w:name="_Toc359414289"/>
      <w:bookmarkStart w:id="71" w:name="_Toc423089074"/>
      <w:bookmarkStart w:id="72" w:name="_Toc322533879"/>
      <w:bookmarkStart w:id="73" w:name="_Toc188889283"/>
      <w:bookmarkEnd w:id="57"/>
      <w:bookmarkEnd w:id="65"/>
      <w:bookmarkEnd w:id="66"/>
      <w:bookmarkEnd w:id="67"/>
      <w:r>
        <w:rPr>
          <w:rFonts w:ascii="Times New Roman" w:hAnsi="Times New Roman"/>
          <w:b/>
          <w:sz w:val="24"/>
        </w:rPr>
        <w:lastRenderedPageBreak/>
        <w:t>5.</w:t>
      </w:r>
      <w:r>
        <w:rPr>
          <w:rFonts w:ascii="Times New Roman" w:hAnsi="Times New Roman"/>
          <w:b/>
          <w:sz w:val="24"/>
        </w:rPr>
        <w:tab/>
        <w:t>C 43.00 – Riska darījumu vērtības mēra komponentu alternatīvais dalījums</w:t>
      </w:r>
      <w:bookmarkEnd w:id="68"/>
      <w:bookmarkEnd w:id="69"/>
      <w:bookmarkEnd w:id="70"/>
      <w:r>
        <w:rPr>
          <w:rFonts w:ascii="Times New Roman" w:hAnsi="Times New Roman"/>
          <w:b/>
          <w:sz w:val="24"/>
        </w:rPr>
        <w:t xml:space="preserve"> (LR4)</w:t>
      </w:r>
      <w:bookmarkEnd w:id="71"/>
      <w:bookmarkEnd w:id="73"/>
    </w:p>
    <w:p w14:paraId="28B96BA9" w14:textId="5AF52E0B" w:rsidR="004E437E" w:rsidRPr="000B66BC" w:rsidRDefault="00500508" w:rsidP="000B66BC">
      <w:pPr>
        <w:pStyle w:val="BodyText1"/>
        <w:spacing w:after="240"/>
        <w:ind w:left="720" w:hanging="360"/>
        <w:rPr>
          <w:rFonts w:ascii="Times New Roman" w:hAnsi="Times New Roman"/>
          <w:sz w:val="24"/>
          <w:szCs w:val="24"/>
        </w:rPr>
      </w:pPr>
      <w:r>
        <w:rPr>
          <w:rFonts w:ascii="Times New Roman" w:hAnsi="Times New Roman"/>
          <w:sz w:val="24"/>
        </w:rPr>
        <w:t>24.</w:t>
      </w:r>
      <w:r>
        <w:rPr>
          <w:rFonts w:ascii="Times New Roman" w:hAnsi="Times New Roman"/>
          <w:sz w:val="24"/>
        </w:rPr>
        <w:tab/>
        <w:t xml:space="preserve">Iestādes norāda sviras rādītāja riska darījumu vērtību LR4 veidnē pēc tam, kad piemēroti atbrīvojumi un atskaitījumi, kas uzrādīti </w:t>
      </w:r>
      <w:proofErr w:type="spellStart"/>
      <w:r>
        <w:rPr>
          <w:rFonts w:ascii="Times New Roman" w:hAnsi="Times New Roman"/>
          <w:sz w:val="24"/>
        </w:rPr>
        <w:t>LRCalc</w:t>
      </w:r>
      <w:proofErr w:type="spellEnd"/>
      <w:r>
        <w:rPr>
          <w:rFonts w:ascii="Times New Roman" w:hAnsi="Times New Roman"/>
          <w:sz w:val="24"/>
        </w:rPr>
        <w:t xml:space="preserve"> veidnē, t. i., posteņi ar negatīvu zīmi saskaņā ar zīmju konvenciju šā pielikuma I daļas 9. punktā, izņemot šos: {0270;0010} {0280;0010}.</w:t>
      </w:r>
    </w:p>
    <w:p w14:paraId="69B9194E" w14:textId="636E268C" w:rsidR="00A54449"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25.</w:t>
      </w:r>
      <w:r>
        <w:rPr>
          <w:rFonts w:ascii="Times New Roman" w:hAnsi="Times New Roman"/>
          <w:sz w:val="24"/>
        </w:rPr>
        <w:tab/>
        <w:t>Lai izvairītos no dubultas uzskaites, iestādes pārliecinās, ka ir pareizs šāds vienādojums:</w:t>
      </w:r>
    </w:p>
    <w:p w14:paraId="6C63F05C" w14:textId="18F59633" w:rsidR="00F4754B" w:rsidRPr="000B66BC" w:rsidRDefault="00287E34"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 xml:space="preserve"> </w:t>
      </w:r>
      <w:r>
        <w:rPr>
          <w:rFonts w:ascii="Times New Roman" w:hAnsi="Times New Roman"/>
          <w:sz w:val="24"/>
        </w:rPr>
        <w:tab/>
        <w:t xml:space="preserve">Visu </w:t>
      </w:r>
      <w:proofErr w:type="spellStart"/>
      <w:r>
        <w:rPr>
          <w:rFonts w:ascii="Times New Roman" w:hAnsi="Times New Roman"/>
          <w:sz w:val="24"/>
        </w:rPr>
        <w:t>LRCalc</w:t>
      </w:r>
      <w:proofErr w:type="spellEnd"/>
      <w:r>
        <w:rPr>
          <w:rFonts w:ascii="Times New Roman" w:hAnsi="Times New Roman"/>
          <w:sz w:val="24"/>
        </w:rPr>
        <w:t xml:space="preserve"> veidnes {0010; 0010} līdz {0269;0010} vērtību summa =  [{LR4;0010;0010} + {LR4;0040;0010} + {LR4;0050;0010} + {LR4;0060;0010} + {LR4;0065;0010} + {LR4;0070;0010} + {LR4;0080;0010} + {LR40;080;0020} + {LR4;0090;0010} + {LR4;00090;0020} + {LR4;0140;0010} + {LR4;0140;0020} + {LR4;0180;0010} + {LR4;0180;0020} + {LR4;190;0010} + {LR4;0190;0020} + {LR4;0210;0010} + {LR4;0210;0020} + {LR4;0230;0010} + {LR4;0230;0020} + {LR4;0280;0010} + {LR4;0280;0020} + {LR4;0290;0010} + {LR4;0290;0020}].</w:t>
      </w:r>
    </w:p>
    <w:p w14:paraId="5BDC94CE" w14:textId="208FDE2C" w:rsidR="00675587" w:rsidRPr="000B66BC" w:rsidRDefault="00143C6A" w:rsidP="000B66BC">
      <w:pPr>
        <w:pStyle w:val="BodyText1"/>
        <w:spacing w:after="240"/>
        <w:ind w:left="720" w:hanging="360"/>
        <w:rPr>
          <w:rFonts w:ascii="Times New Roman" w:hAnsi="Times New Roman"/>
          <w:sz w:val="24"/>
          <w:szCs w:val="24"/>
        </w:rPr>
      </w:pPr>
      <w:r>
        <w:rPr>
          <w:rFonts w:ascii="Times New Roman" w:hAnsi="Times New Roman"/>
          <w:sz w:val="24"/>
        </w:rPr>
        <w:t>26.</w:t>
      </w:r>
      <w:r>
        <w:rPr>
          <w:rFonts w:ascii="Times New Roman" w:hAnsi="Times New Roman"/>
          <w:sz w:val="24"/>
        </w:rPr>
        <w:tab/>
        <w:t xml:space="preserve">Lai nodrošinātu konsekvenci ar sviras rādītāja riska darījuma vērtību , riska darījumu riska svērtās vērtības uzrāda arī saskaņā ar galīgo definīciju. Pašu kapitāla minimālās robežvērtības korekcijas šajā veidnē netiks ņemtas vērā. </w:t>
      </w:r>
    </w:p>
    <w:p w14:paraId="794DC095" w14:textId="4A4B07F0" w:rsidR="003B1611" w:rsidRPr="000B66BC" w:rsidRDefault="003B1611" w:rsidP="000B66BC">
      <w:pPr>
        <w:pStyle w:val="BodyText1"/>
        <w:spacing w:after="240"/>
        <w:ind w:left="720" w:hanging="360"/>
        <w:rPr>
          <w:rFonts w:ascii="Times New Roman" w:hAnsi="Times New Roman"/>
          <w:sz w:val="24"/>
          <w:szCs w:val="24"/>
        </w:rPr>
      </w:pPr>
      <w:r>
        <w:rPr>
          <w:rFonts w:ascii="Times New Roman" w:hAnsi="Times New Roman"/>
          <w:sz w:val="24"/>
        </w:rPr>
        <w:t xml:space="preserve">27. Iestādes uzrāda atbilstošo vērtību attiecībā uz </w:t>
      </w:r>
      <w:r>
        <w:rPr>
          <w:rFonts w:ascii="Times New Roman" w:hAnsi="Times New Roman"/>
          <w:i/>
          <w:iCs/>
          <w:sz w:val="24"/>
        </w:rPr>
        <w:t>RWEA</w:t>
      </w:r>
      <w:r>
        <w:rPr>
          <w:rFonts w:ascii="Times New Roman" w:hAnsi="Times New Roman"/>
          <w:sz w:val="24"/>
        </w:rPr>
        <w:t xml:space="preserve"> pēc kredītriska mazināšanas (KRM) metodēm un tās aizstāšanas ietekmes. Iestādes uzrāda atbilstošo vērtību attiecībā uz </w:t>
      </w:r>
      <w:r>
        <w:rPr>
          <w:rFonts w:ascii="Times New Roman" w:hAnsi="Times New Roman"/>
          <w:i/>
          <w:iCs/>
          <w:sz w:val="24"/>
        </w:rPr>
        <w:t>LRE</w:t>
      </w:r>
      <w:r>
        <w:rPr>
          <w:rFonts w:ascii="Times New Roman" w:hAnsi="Times New Roman"/>
          <w:sz w:val="24"/>
        </w:rPr>
        <w:t xml:space="preserve"> atbilstoši sākotnējai vērtībai, t. i., neņemot vērā nekādu kredītriska mazināšanas vai aizstāšanas ietekmi, kas piemērojama </w:t>
      </w:r>
      <w:r>
        <w:rPr>
          <w:rFonts w:ascii="Times New Roman" w:hAnsi="Times New Roman"/>
          <w:i/>
          <w:iCs/>
          <w:sz w:val="24"/>
        </w:rPr>
        <w:t>RWEA</w:t>
      </w:r>
      <w:r>
        <w:rPr>
          <w:rFonts w:ascii="Times New Roman" w:hAnsi="Times New Roman"/>
          <w:sz w:val="24"/>
        </w:rPr>
        <w:t xml:space="preserve">. </w:t>
      </w:r>
    </w:p>
    <w:tbl>
      <w:tblPr>
        <w:tblW w:w="896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559"/>
        <w:gridCol w:w="7406"/>
      </w:tblGrid>
      <w:tr w:rsidR="002A54FF" w:rsidRPr="00E75BB8" w14:paraId="69CF6F62" w14:textId="77777777" w:rsidTr="000B66BC">
        <w:trPr>
          <w:trHeight w:val="297"/>
        </w:trPr>
        <w:tc>
          <w:tcPr>
            <w:tcW w:w="1559" w:type="dxa"/>
            <w:shd w:val="clear" w:color="auto" w:fill="D9D9D9" w:themeFill="background1" w:themeFillShade="D9"/>
          </w:tcPr>
          <w:p w14:paraId="5F424E32" w14:textId="77777777" w:rsidR="00F4754B" w:rsidRPr="000B66BC" w:rsidRDefault="00F4754B" w:rsidP="000B66BC">
            <w:pPr>
              <w:pStyle w:val="BodyText1"/>
              <w:spacing w:after="240"/>
              <w:rPr>
                <w:rFonts w:ascii="Times New Roman" w:hAnsi="Times New Roman"/>
                <w:b/>
                <w:bCs/>
                <w:i/>
                <w:sz w:val="24"/>
                <w:szCs w:val="24"/>
              </w:rPr>
            </w:pPr>
            <w:r>
              <w:rPr>
                <w:rFonts w:ascii="Times New Roman" w:hAnsi="Times New Roman"/>
                <w:b/>
                <w:sz w:val="24"/>
              </w:rPr>
              <w:t>Rinda un sleja</w:t>
            </w:r>
          </w:p>
        </w:tc>
        <w:tc>
          <w:tcPr>
            <w:tcW w:w="7406" w:type="dxa"/>
            <w:shd w:val="clear" w:color="auto" w:fill="D9D9D9" w:themeFill="background1" w:themeFillShade="D9"/>
          </w:tcPr>
          <w:p w14:paraId="0DBEBFC4" w14:textId="77777777" w:rsidR="00F4754B" w:rsidRPr="000B66BC" w:rsidRDefault="00F4754B" w:rsidP="000B66BC">
            <w:pPr>
              <w:pStyle w:val="BodyText1"/>
              <w:spacing w:after="240"/>
              <w:rPr>
                <w:rFonts w:ascii="Times New Roman" w:hAnsi="Times New Roman"/>
                <w:b/>
                <w:bCs/>
                <w:i/>
                <w:sz w:val="24"/>
                <w:szCs w:val="24"/>
              </w:rPr>
            </w:pPr>
            <w:r>
              <w:rPr>
                <w:rFonts w:ascii="Times New Roman" w:hAnsi="Times New Roman"/>
                <w:b/>
                <w:sz w:val="24"/>
              </w:rPr>
              <w:t>Atsauces uz tiesību aktu noteikumiem un norādījumi</w:t>
            </w:r>
          </w:p>
        </w:tc>
      </w:tr>
      <w:tr w:rsidR="002A54FF" w:rsidRPr="00E75BB8" w14:paraId="7949D943" w14:textId="77777777" w:rsidTr="000B66BC">
        <w:trPr>
          <w:trHeight w:val="445"/>
        </w:trPr>
        <w:tc>
          <w:tcPr>
            <w:tcW w:w="1559" w:type="dxa"/>
            <w:shd w:val="clear" w:color="auto" w:fill="FFFFFF"/>
          </w:tcPr>
          <w:p w14:paraId="55F0F0BF" w14:textId="2E63969B"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{0010;0010}</w:t>
            </w:r>
          </w:p>
        </w:tc>
        <w:tc>
          <w:tcPr>
            <w:tcW w:w="7406" w:type="dxa"/>
            <w:shd w:val="clear" w:color="auto" w:fill="FFFFFF"/>
          </w:tcPr>
          <w:p w14:paraId="1750A9AE" w14:textId="2B686C42"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Ārpusbilances posteņi – Sviras rādītāja riska darījuma vērtība</w:t>
            </w:r>
          </w:p>
          <w:p w14:paraId="158DBAF4" w14:textId="1A1A8F2F"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Sviras rādītāja riska darījuma vērtība, kas aprēķināta kā {LRCalc;0150;0010}, {LRCalc;0160;0010}, {LRCalc;0165;0010} {LRCalc;0170;0010} un {LRCalc;0180;0010} summa, izņemot attiecīgos grupas iekšējos riska darījumus (individuālā līmenī), kas ir atbrīvoti saskaņā ar Regulas (ES) Nr. 575/2013 429.a panta 1. punkta c) un </w:t>
            </w:r>
            <w:proofErr w:type="spellStart"/>
            <w:r>
              <w:rPr>
                <w:rFonts w:ascii="Times New Roman" w:hAnsi="Times New Roman"/>
                <w:sz w:val="24"/>
              </w:rPr>
              <w:t>ca</w:t>
            </w:r>
            <w:proofErr w:type="spellEnd"/>
            <w:r>
              <w:rPr>
                <w:rFonts w:ascii="Times New Roman" w:hAnsi="Times New Roman"/>
                <w:sz w:val="24"/>
              </w:rPr>
              <w:t>) apakšpunktu.</w:t>
            </w:r>
          </w:p>
        </w:tc>
      </w:tr>
      <w:tr w:rsidR="002A54FF" w:rsidRPr="00E75BB8" w14:paraId="5C714FF5" w14:textId="77777777" w:rsidTr="000B66BC">
        <w:trPr>
          <w:trHeight w:val="1179"/>
        </w:trPr>
        <w:tc>
          <w:tcPr>
            <w:tcW w:w="1559" w:type="dxa"/>
            <w:shd w:val="clear" w:color="auto" w:fill="FFFFFF"/>
          </w:tcPr>
          <w:p w14:paraId="2120C924" w14:textId="781A037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{0010;0020}</w:t>
            </w:r>
          </w:p>
        </w:tc>
        <w:tc>
          <w:tcPr>
            <w:tcW w:w="7406" w:type="dxa"/>
            <w:shd w:val="clear" w:color="auto" w:fill="FFFFFF"/>
          </w:tcPr>
          <w:p w14:paraId="01D12FD7" w14:textId="094E74CB"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 xml:space="preserve">Ārpusbilances posteņi – </w:t>
            </w:r>
            <w:r>
              <w:rPr>
                <w:rFonts w:ascii="Times New Roman" w:hAnsi="Times New Roman"/>
                <w:b/>
                <w:i/>
                <w:iCs/>
                <w:sz w:val="24"/>
              </w:rPr>
              <w:t>RWEA</w:t>
            </w:r>
          </w:p>
          <w:p w14:paraId="672047D9" w14:textId="29F80B05"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Ārpusbilances posteņu riska darījuma riska svērtā vērtība – izņemot VFD un atvasinātos instrumentus – kā standartizētajā pieejā un IRB pieejā. Attiecībā uz riska darījumiem saskaņā ar standartizēto pieeju iestādes nosaka riska darījumu riska svērto vērtību saskaņā ar Regulas (ES) Nr. 575/2013 trešās daļas II sadaļas 2. nodaļu. Attiecībā uz riska darījumiem saskaņā ar IRB pieeju iestādes nosaka riska darījumu riska svērto vērtību saskaņā ar Regulas (ES) Nr. 575/2013 trešās daļas II sadaļas 3. nodaļu.</w:t>
            </w:r>
          </w:p>
        </w:tc>
      </w:tr>
      <w:tr w:rsidR="002A54FF" w:rsidRPr="00E75BB8" w14:paraId="3A2B982B" w14:textId="77777777" w:rsidTr="000B66BC">
        <w:trPr>
          <w:trHeight w:val="741"/>
        </w:trPr>
        <w:tc>
          <w:tcPr>
            <w:tcW w:w="1559" w:type="dxa"/>
            <w:shd w:val="clear" w:color="auto" w:fill="FFFFFF"/>
          </w:tcPr>
          <w:p w14:paraId="02155B13" w14:textId="2421AAB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{0020;0010}</w:t>
            </w:r>
          </w:p>
        </w:tc>
        <w:tc>
          <w:tcPr>
            <w:tcW w:w="7406" w:type="dxa"/>
            <w:shd w:val="clear" w:color="auto" w:fill="FFFFFF"/>
          </w:tcPr>
          <w:p w14:paraId="08539F0E" w14:textId="34DD4FEA" w:rsidR="00F4754B"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sz w:val="24"/>
              </w:rPr>
              <w:t>No kā: Tirdzniecības finansējums – Sviras rādītāja riska darījuma vērtība</w:t>
            </w:r>
          </w:p>
          <w:p w14:paraId="645ACACC" w14:textId="77777777" w:rsidR="00F21A85" w:rsidRDefault="00F4754B" w:rsidP="00F21A85">
            <w:pPr>
              <w:pStyle w:val="BodyText1"/>
              <w:spacing w:after="240" w:line="240" w:lineRule="auto"/>
              <w:rPr>
                <w:rFonts w:ascii="Times New Roman" w:hAnsi="Times New Roman"/>
                <w:bCs/>
                <w:sz w:val="24"/>
                <w:szCs w:val="24"/>
              </w:rPr>
            </w:pPr>
            <w:r>
              <w:rPr>
                <w:rFonts w:ascii="Times New Roman" w:hAnsi="Times New Roman"/>
                <w:sz w:val="24"/>
              </w:rPr>
              <w:t>Ar tirdzniecības finansējumu saistītu ārpusbilances posteņu sviras rādītāja riska darījuma vērtība.</w:t>
            </w:r>
          </w:p>
          <w:p w14:paraId="133382BF" w14:textId="754E9FF1" w:rsidR="002509B1" w:rsidRPr="000B66BC" w:rsidRDefault="00F4754B" w:rsidP="00F21A85">
            <w:pPr>
              <w:pStyle w:val="BodyText1"/>
              <w:spacing w:after="240" w:line="240" w:lineRule="auto"/>
              <w:rPr>
                <w:rFonts w:ascii="Times New Roman" w:hAnsi="Times New Roman"/>
                <w:bCs/>
                <w:sz w:val="24"/>
                <w:szCs w:val="24"/>
              </w:rPr>
            </w:pPr>
            <w:r>
              <w:rPr>
                <w:rFonts w:ascii="Times New Roman" w:hAnsi="Times New Roman"/>
                <w:sz w:val="24"/>
              </w:rPr>
              <w:t xml:space="preserve">Pārskata sniegšanas vajadzībām LR4 veidnē ārpusbilances posteņi saistībā ar tirdzniecības finansējumu attiecas uz emitētajām un apstiprinātajām importa un eksporta kredītvēstulēm, kas ir īstermiņa un </w:t>
            </w:r>
            <w:proofErr w:type="spellStart"/>
            <w:r>
              <w:rPr>
                <w:rFonts w:ascii="Times New Roman" w:hAnsi="Times New Roman"/>
                <w:sz w:val="24"/>
              </w:rPr>
              <w:t>pašlikvidējošas</w:t>
            </w:r>
            <w:proofErr w:type="spellEnd"/>
            <w:r>
              <w:rPr>
                <w:rFonts w:ascii="Times New Roman" w:hAnsi="Times New Roman"/>
                <w:sz w:val="24"/>
              </w:rPr>
              <w:t>, un līdzīgiem darījumiem.</w:t>
            </w:r>
          </w:p>
        </w:tc>
      </w:tr>
      <w:tr w:rsidR="002A54FF" w:rsidRPr="00E75BB8" w14:paraId="76EF75CF" w14:textId="77777777" w:rsidTr="000B66BC">
        <w:trPr>
          <w:trHeight w:val="1038"/>
        </w:trPr>
        <w:tc>
          <w:tcPr>
            <w:tcW w:w="1559" w:type="dxa"/>
            <w:shd w:val="clear" w:color="auto" w:fill="FFFFFF"/>
          </w:tcPr>
          <w:p w14:paraId="35797C75" w14:textId="0565FF1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{0020;0020}</w:t>
            </w:r>
          </w:p>
        </w:tc>
        <w:tc>
          <w:tcPr>
            <w:tcW w:w="7406" w:type="dxa"/>
            <w:shd w:val="clear" w:color="auto" w:fill="FFFFFF"/>
          </w:tcPr>
          <w:p w14:paraId="249BC5D0" w14:textId="48587F9F" w:rsidR="002509B1"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No kā: Tirdzniecības finansējums – </w:t>
            </w:r>
            <w:r>
              <w:rPr>
                <w:rFonts w:ascii="Times New Roman" w:hAnsi="Times New Roman"/>
                <w:b/>
                <w:i/>
                <w:iCs/>
                <w:sz w:val="24"/>
              </w:rPr>
              <w:t>RWEA</w:t>
            </w:r>
          </w:p>
          <w:p w14:paraId="6D7F09A8" w14:textId="77777777" w:rsidR="006918E9" w:rsidRDefault="00F4754B" w:rsidP="006918E9">
            <w:pPr>
              <w:pStyle w:val="BodyText1"/>
              <w:spacing w:after="240" w:line="240" w:lineRule="auto"/>
              <w:rPr>
                <w:rFonts w:ascii="Times New Roman" w:hAnsi="Times New Roman"/>
                <w:bCs/>
                <w:sz w:val="24"/>
                <w:szCs w:val="24"/>
              </w:rPr>
            </w:pPr>
            <w:r>
              <w:rPr>
                <w:rFonts w:ascii="Times New Roman" w:hAnsi="Times New Roman"/>
                <w:sz w:val="24"/>
              </w:rPr>
              <w:t>Ārpusbilances posteņu riska darījumu riska svērtā vērtība – izņemot VFD un atvasinātos instrumentus – saistībā ar tirdzniecības finansējumu.</w:t>
            </w:r>
          </w:p>
          <w:p w14:paraId="38C84AEF" w14:textId="78316124" w:rsidR="002509B1" w:rsidRPr="000B66BC" w:rsidRDefault="00F4754B" w:rsidP="00F21A85">
            <w:pPr>
              <w:pStyle w:val="BodyText1"/>
              <w:spacing w:after="240" w:line="240" w:lineRule="auto"/>
              <w:rPr>
                <w:rFonts w:ascii="Times New Roman" w:hAnsi="Times New Roman"/>
                <w:b/>
                <w:bCs/>
                <w:sz w:val="24"/>
                <w:szCs w:val="24"/>
                <w:u w:val="single"/>
              </w:rPr>
            </w:pPr>
            <w:r>
              <w:rPr>
                <w:rFonts w:ascii="Times New Roman" w:hAnsi="Times New Roman"/>
                <w:sz w:val="24"/>
              </w:rPr>
              <w:t xml:space="preserve">Pārskata sniegšanas vajadzībām LR4 veidnē ārpusbilances posteņi saistībā ar tirdzniecības finansējumu attiecas uz emitētajām un apstiprinātajām importa un eksporta kredītvēstulēm, kas ir īstermiņa un </w:t>
            </w:r>
            <w:proofErr w:type="spellStart"/>
            <w:r>
              <w:rPr>
                <w:rFonts w:ascii="Times New Roman" w:hAnsi="Times New Roman"/>
                <w:sz w:val="24"/>
              </w:rPr>
              <w:t>pašlikvidējošas</w:t>
            </w:r>
            <w:proofErr w:type="spellEnd"/>
            <w:r>
              <w:rPr>
                <w:rFonts w:ascii="Times New Roman" w:hAnsi="Times New Roman"/>
                <w:sz w:val="24"/>
              </w:rPr>
              <w:t>, un līdzīgiem darījumiem.</w:t>
            </w:r>
          </w:p>
        </w:tc>
      </w:tr>
      <w:tr w:rsidR="002A54FF" w:rsidRPr="00E75BB8" w14:paraId="277256CF" w14:textId="77777777" w:rsidTr="000B66BC">
        <w:trPr>
          <w:trHeight w:val="1030"/>
        </w:trPr>
        <w:tc>
          <w:tcPr>
            <w:tcW w:w="1559" w:type="dxa"/>
            <w:shd w:val="clear" w:color="auto" w:fill="FFFFFF"/>
          </w:tcPr>
          <w:p w14:paraId="5B876EDF" w14:textId="3902F515"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{0030;0010}</w:t>
            </w:r>
          </w:p>
        </w:tc>
        <w:tc>
          <w:tcPr>
            <w:tcW w:w="7406" w:type="dxa"/>
            <w:shd w:val="clear" w:color="auto" w:fill="FFFFFF"/>
          </w:tcPr>
          <w:p w14:paraId="48F51CF2" w14:textId="4EB6A65B" w:rsidR="002509B1"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sz w:val="24"/>
              </w:rPr>
              <w:t>No kā: Saskaņā ar oficiālu eksporta kredītu apdrošināšanas shēmu – sviras rādītāja riska darījuma vērtība</w:t>
            </w:r>
          </w:p>
          <w:p w14:paraId="6B70A020" w14:textId="3C72A663" w:rsidR="001F28E7"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rPr>
              <w:t>Ar tirdzniecības finansējumu saskaņā ar oficiālu eksporta kredītu apdrošināšanas shēmu saistītu ārpusbilances posteņu sviras rādītāja riska darījuma vērtība.</w:t>
            </w:r>
          </w:p>
          <w:p w14:paraId="71BE2A86" w14:textId="52B3D7F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Pārskata sniegšanas vajadzībām LR4 veidnē oficiāla eksporta kredītu apdrošināšanas shēma attiecas uz oficiālo atbalstu, ko sniedz valdība vai cita struktūra, piemēram eksporta kredītu aģentūra, tostarp tādā veidā kā tiešie kredīti/finansējums, refinansējums, procentu likmju atbalsts (ja kredīta darbības laikā tiek garantēta nemainīga procentu likme), atbalsta finansējums (kredīti un dotācijas), eksporta kredītu apdrošināšana un garantijas.</w:t>
            </w:r>
          </w:p>
        </w:tc>
      </w:tr>
      <w:tr w:rsidR="002A54FF" w:rsidRPr="00E75BB8" w14:paraId="46968C9B" w14:textId="77777777" w:rsidTr="000B66BC">
        <w:trPr>
          <w:trHeight w:val="601"/>
        </w:trPr>
        <w:tc>
          <w:tcPr>
            <w:tcW w:w="1559" w:type="dxa"/>
            <w:shd w:val="clear" w:color="auto" w:fill="FFFFFF"/>
          </w:tcPr>
          <w:p w14:paraId="68790E0D" w14:textId="23854C8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{0030;0020}</w:t>
            </w:r>
          </w:p>
        </w:tc>
        <w:tc>
          <w:tcPr>
            <w:tcW w:w="7406" w:type="dxa"/>
            <w:shd w:val="clear" w:color="auto" w:fill="FFFFFF"/>
          </w:tcPr>
          <w:p w14:paraId="071CF42C" w14:textId="4BD5D1B3" w:rsidR="00F4754B"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No kā: Saskaņā ar oficiālu eksporta kredītu apdrošināšanas shēmu – </w:t>
            </w:r>
            <w:r>
              <w:rPr>
                <w:rFonts w:ascii="Times New Roman" w:hAnsi="Times New Roman"/>
                <w:b/>
                <w:i/>
                <w:iCs/>
                <w:sz w:val="24"/>
              </w:rPr>
              <w:t>RWEA</w:t>
            </w:r>
          </w:p>
          <w:p w14:paraId="0E7BC811" w14:textId="6F1A953F" w:rsidR="001F28E7"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rPr>
              <w:t>Ārpusbilances posteņu riska darījumu riska svērtā vērtība – izņemot VFD un atvasinātos instrumentus – saistībā ar tirdzniecības finansējumu saskaņā ar oficiālu eksporta kredītu apdrošināšanas shēmu.</w:t>
            </w:r>
          </w:p>
          <w:p w14:paraId="2D3ADF55" w14:textId="478E84F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Pārskata sniegšanas vajadzībām LR4 veidnē oficiāla eksporta kredītu apdrošināšanas shēma attiecas uz oficiālo atbalstu, ko sniedz valdība vai cita struktūra, piemēram eksporta kredītu aģentūra, tostarp tādā veidā kā tiešie kredīti/finansējums, refinansējums, procentu likmju atbalsts (ja kredīta darbības laikā tiek garantēta nemainīga procentu likme), atbalsta </w:t>
            </w:r>
            <w:r>
              <w:rPr>
                <w:rFonts w:ascii="Times New Roman" w:hAnsi="Times New Roman"/>
                <w:sz w:val="24"/>
              </w:rPr>
              <w:lastRenderedPageBreak/>
              <w:t>finansējums (kredīti un dotācijas), eksporta kredītu apdrošināšana un garantijas.</w:t>
            </w:r>
          </w:p>
        </w:tc>
      </w:tr>
      <w:tr w:rsidR="002A54FF" w:rsidRPr="00E75BB8" w14:paraId="46D6302F" w14:textId="77777777" w:rsidTr="000B66BC">
        <w:trPr>
          <w:trHeight w:val="71"/>
        </w:trPr>
        <w:tc>
          <w:tcPr>
            <w:tcW w:w="1559" w:type="dxa"/>
            <w:shd w:val="clear" w:color="auto" w:fill="FFFFFF"/>
          </w:tcPr>
          <w:p w14:paraId="189CF026" w14:textId="3E532BF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{0040;0010}</w:t>
            </w:r>
          </w:p>
        </w:tc>
        <w:tc>
          <w:tcPr>
            <w:tcW w:w="7406" w:type="dxa"/>
            <w:shd w:val="clear" w:color="auto" w:fill="FFFFFF"/>
          </w:tcPr>
          <w:p w14:paraId="70B328B5" w14:textId="418FD16C"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Atvasinātie instrumenti un VFD, uz kuriem attiecas dažādu produktu savstarpējo prasījumu ieskaita līgums – sviras rādītāja riska darījuma vērtība</w:t>
            </w:r>
          </w:p>
          <w:p w14:paraId="04D3A7BA" w14:textId="2BCB7AFC" w:rsidR="002509B1" w:rsidRPr="000B66BC" w:rsidRDefault="00F4754B" w:rsidP="00F21A85">
            <w:pPr>
              <w:pStyle w:val="BodyText1"/>
              <w:spacing w:after="240" w:line="240" w:lineRule="auto"/>
              <w:rPr>
                <w:rFonts w:ascii="Times New Roman" w:hAnsi="Times New Roman"/>
                <w:b/>
                <w:bCs/>
                <w:sz w:val="24"/>
                <w:szCs w:val="24"/>
                <w:u w:val="single"/>
              </w:rPr>
            </w:pPr>
            <w:r>
              <w:rPr>
                <w:rFonts w:ascii="Times New Roman" w:hAnsi="Times New Roman"/>
                <w:sz w:val="24"/>
              </w:rPr>
              <w:t>Atvasināto instrumentu un VFD riska darījumu vērtības mērs, ja uz tiem attiecas dažādu produktu savstarpējo prasījumu ieskaita līgums, kas definēts Regulas (ES) Nr. 575/2013 272. panta 25. punktā.</w:t>
            </w:r>
          </w:p>
        </w:tc>
      </w:tr>
      <w:tr w:rsidR="002A54FF" w:rsidRPr="00E75BB8" w14:paraId="71AC64BB" w14:textId="77777777" w:rsidTr="000B66BC">
        <w:trPr>
          <w:trHeight w:val="71"/>
        </w:trPr>
        <w:tc>
          <w:tcPr>
            <w:tcW w:w="1559" w:type="dxa"/>
            <w:shd w:val="clear" w:color="auto" w:fill="FFFFFF"/>
          </w:tcPr>
          <w:p w14:paraId="22035BF5" w14:textId="02E9D935"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{0040;0020}</w:t>
            </w:r>
          </w:p>
        </w:tc>
        <w:tc>
          <w:tcPr>
            <w:tcW w:w="7406" w:type="dxa"/>
            <w:shd w:val="clear" w:color="auto" w:fill="FFFFFF"/>
          </w:tcPr>
          <w:p w14:paraId="6A93DC52" w14:textId="5A4C870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Atvasinātie instrumenti un VFD, uz kuriem attiecas dažādu produktu savstarpējā ieskaita līgums – </w:t>
            </w:r>
            <w:r>
              <w:rPr>
                <w:rFonts w:ascii="Times New Roman" w:hAnsi="Times New Roman"/>
                <w:b/>
                <w:i/>
                <w:iCs/>
                <w:sz w:val="24"/>
              </w:rPr>
              <w:t>RWEA</w:t>
            </w:r>
          </w:p>
          <w:p w14:paraId="2D88BC4B" w14:textId="20CFA414"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Atvasināto instrumentu un VFD, tostarp ārpusbilances, riska darījumu riska svērtās vērtības attiecībā uz kredītrisku un darījuma partnera kredītrisku, kas aprēķinātas saskaņā ar Regulas (ES) Nr. 575/2013 trešās daļas II sadaļu, ja uz tiem attiecas dažādu produktu savstarpējo prasījumu ieskaita līgums, kas definēts Regulas (ES) Nr. 575/2013 272. panta 25. punktā.</w:t>
            </w:r>
          </w:p>
        </w:tc>
      </w:tr>
      <w:tr w:rsidR="002A54FF" w:rsidRPr="00E75BB8" w14:paraId="6FAD68FE" w14:textId="77777777" w:rsidTr="000B66BC">
        <w:trPr>
          <w:trHeight w:val="71"/>
        </w:trPr>
        <w:tc>
          <w:tcPr>
            <w:tcW w:w="1559" w:type="dxa"/>
            <w:shd w:val="clear" w:color="auto" w:fill="FFFFFF"/>
          </w:tcPr>
          <w:p w14:paraId="7DA151D1" w14:textId="1DC2294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{0050;0010}</w:t>
            </w:r>
          </w:p>
        </w:tc>
        <w:tc>
          <w:tcPr>
            <w:tcW w:w="7406" w:type="dxa"/>
            <w:shd w:val="clear" w:color="auto" w:fill="FFFFFF"/>
          </w:tcPr>
          <w:p w14:paraId="37A53F91" w14:textId="1692A46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Atvasinātie instrumenti, uz kuriem neattiecas dažādu produktu savstarpējo prasījumu ieskaita līgums – sviras rādītāja riska darījuma vērtība</w:t>
            </w:r>
          </w:p>
          <w:p w14:paraId="48BC0234" w14:textId="58D66696"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sz w:val="24"/>
              </w:rPr>
              <w:t>Atvasināto instrumentu sviras rādītāja riska darījuma vērtība, ja uz tiem neattiecas dažādu produktu savstarpējo prasījumu ieskaita līgums, kas definēts Regulas (ES) Nr. 575/2013 272. panta 25. punktā.</w:t>
            </w:r>
          </w:p>
        </w:tc>
      </w:tr>
      <w:tr w:rsidR="002A54FF" w:rsidRPr="00E75BB8" w14:paraId="109BE50A" w14:textId="77777777" w:rsidTr="000B66BC">
        <w:trPr>
          <w:trHeight w:val="71"/>
        </w:trPr>
        <w:tc>
          <w:tcPr>
            <w:tcW w:w="1559" w:type="dxa"/>
            <w:shd w:val="clear" w:color="auto" w:fill="FFFFFF"/>
          </w:tcPr>
          <w:p w14:paraId="6AA1CBE3" w14:textId="7C7D5476"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{0050;0020}</w:t>
            </w:r>
          </w:p>
        </w:tc>
        <w:tc>
          <w:tcPr>
            <w:tcW w:w="7406" w:type="dxa"/>
            <w:shd w:val="clear" w:color="auto" w:fill="FFFFFF"/>
          </w:tcPr>
          <w:p w14:paraId="128CF8E8" w14:textId="0277DB7A"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Atvasinātie instrumenti, uz kuriem neattiecas dažādu produktu savstarpējā ieskaita līgums – </w:t>
            </w:r>
            <w:r>
              <w:rPr>
                <w:rFonts w:ascii="Times New Roman" w:hAnsi="Times New Roman"/>
                <w:b/>
                <w:i/>
                <w:iCs/>
                <w:sz w:val="24"/>
              </w:rPr>
              <w:t>RWEA</w:t>
            </w:r>
          </w:p>
          <w:p w14:paraId="328E1A83" w14:textId="58F42996" w:rsidR="002509B1" w:rsidRPr="000B66BC" w:rsidRDefault="00F4754B" w:rsidP="00F21A85">
            <w:pPr>
              <w:pStyle w:val="BodyText1"/>
              <w:spacing w:after="240" w:line="240" w:lineRule="auto"/>
              <w:rPr>
                <w:rFonts w:ascii="Times New Roman" w:hAnsi="Times New Roman"/>
                <w:b/>
                <w:bCs/>
                <w:sz w:val="24"/>
                <w:szCs w:val="24"/>
              </w:rPr>
            </w:pPr>
            <w:r>
              <w:rPr>
                <w:rFonts w:ascii="Times New Roman" w:hAnsi="Times New Roman"/>
                <w:sz w:val="24"/>
              </w:rPr>
              <w:t>Atvasināto instrumentu, tostarp ārpusbilances, riska darījumu riska svērtās vērtības attiecībā uz kredītrisku un darījuma partnera kredītrisku, kas aprēķinātas saskaņā ar Regulas (ES) Nr. 575/2013 trešās daļas II sadaļu, ja uz tiem neattiecas dažādu produktu savstarpējo prasījumu ieskaita līgums, kas definēts Regulas (ES) Nr. 575/2013 272. panta 25. punktā.</w:t>
            </w:r>
          </w:p>
        </w:tc>
      </w:tr>
      <w:tr w:rsidR="002A54FF" w:rsidRPr="00E75BB8" w14:paraId="250886B1" w14:textId="77777777" w:rsidTr="000B66BC">
        <w:trPr>
          <w:trHeight w:val="71"/>
        </w:trPr>
        <w:tc>
          <w:tcPr>
            <w:tcW w:w="1559" w:type="dxa"/>
            <w:shd w:val="clear" w:color="auto" w:fill="FFFFFF"/>
          </w:tcPr>
          <w:p w14:paraId="47AE751E" w14:textId="7CC2059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{0060;0010}</w:t>
            </w:r>
          </w:p>
        </w:tc>
        <w:tc>
          <w:tcPr>
            <w:tcW w:w="7406" w:type="dxa"/>
            <w:shd w:val="clear" w:color="auto" w:fill="FFFFFF"/>
          </w:tcPr>
          <w:p w14:paraId="62FDB809" w14:textId="5F25550B"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VFD, uz kuriem neattiecas dažādu produktu savstarpējo prasījumu ieskaita līgums – sviras rādītāja riska darījuma vērtība</w:t>
            </w:r>
          </w:p>
          <w:p w14:paraId="621A4651" w14:textId="29EC337D" w:rsidR="000A486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sz w:val="24"/>
              </w:rPr>
              <w:t>VFD sviras radītāja riska darījumu vērtība, ja uz tiem neattiecas dažādu produktu savstarpējo prasījumu ieskaita līgums, kas definēts Regulas (ES) Nr. 575/2013 272. panta 25. punktā.</w:t>
            </w:r>
          </w:p>
        </w:tc>
      </w:tr>
      <w:tr w:rsidR="002A54FF" w:rsidRPr="00E75BB8" w14:paraId="02CE5A4B" w14:textId="77777777" w:rsidTr="000B66BC">
        <w:trPr>
          <w:trHeight w:val="71"/>
        </w:trPr>
        <w:tc>
          <w:tcPr>
            <w:tcW w:w="1559" w:type="dxa"/>
            <w:shd w:val="clear" w:color="auto" w:fill="FFFFFF"/>
          </w:tcPr>
          <w:p w14:paraId="5323F20A" w14:textId="5C57C5D6"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{0060;0020}</w:t>
            </w:r>
          </w:p>
        </w:tc>
        <w:tc>
          <w:tcPr>
            <w:tcW w:w="7406" w:type="dxa"/>
            <w:shd w:val="clear" w:color="auto" w:fill="FFFFFF"/>
          </w:tcPr>
          <w:p w14:paraId="25095D40" w14:textId="2E4D9B7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VFD, uz kuriem neattiecas dažādu produktu savstarpējā ieskaita līgums – </w:t>
            </w:r>
            <w:r>
              <w:rPr>
                <w:rFonts w:ascii="Times New Roman" w:hAnsi="Times New Roman"/>
                <w:b/>
                <w:i/>
                <w:iCs/>
                <w:sz w:val="24"/>
              </w:rPr>
              <w:t>RWEA</w:t>
            </w:r>
          </w:p>
          <w:p w14:paraId="0358DACB" w14:textId="7C980E23" w:rsidR="002509B1" w:rsidRPr="000B66BC" w:rsidRDefault="00F4754B" w:rsidP="00F21A85">
            <w:pPr>
              <w:pStyle w:val="BodyText1"/>
              <w:spacing w:after="240" w:line="240" w:lineRule="auto"/>
              <w:rPr>
                <w:rFonts w:ascii="Times New Roman" w:hAnsi="Times New Roman"/>
                <w:b/>
                <w:bCs/>
                <w:sz w:val="24"/>
                <w:szCs w:val="24"/>
              </w:rPr>
            </w:pPr>
            <w:r>
              <w:rPr>
                <w:rFonts w:ascii="Times New Roman" w:hAnsi="Times New Roman"/>
                <w:sz w:val="24"/>
              </w:rPr>
              <w:t xml:space="preserve">VFD, tostarp ārpusbilances, riska darījumu riska svērtās vērtības attiecībā uz kredītrisku un darījuma partnera kredītrisku, kas aprēķinātas saskaņā ar Regulas (ES) Nr. 575/2013 trešās daļas II sadaļu, ja uz tiem neattiecas </w:t>
            </w:r>
            <w:r>
              <w:rPr>
                <w:rFonts w:ascii="Times New Roman" w:hAnsi="Times New Roman"/>
                <w:sz w:val="24"/>
              </w:rPr>
              <w:lastRenderedPageBreak/>
              <w:t>dažādu produktu savstarpējo prasījumu ieskaita līgums, kas definēts Regulas (ES) Nr. 575/2013 272. panta 25. punktā.</w:t>
            </w:r>
          </w:p>
        </w:tc>
      </w:tr>
      <w:tr w:rsidR="002A54FF" w:rsidRPr="00E75BB8" w14:paraId="53E747C0" w14:textId="77777777" w:rsidTr="000B66BC">
        <w:trPr>
          <w:trHeight w:val="71"/>
        </w:trPr>
        <w:tc>
          <w:tcPr>
            <w:tcW w:w="1559" w:type="dxa"/>
            <w:shd w:val="clear" w:color="auto" w:fill="FFFFFF"/>
          </w:tcPr>
          <w:p w14:paraId="416A99BB" w14:textId="71684C56" w:rsidR="00465521" w:rsidRPr="000B66BC" w:rsidRDefault="00465521" w:rsidP="000B66BC">
            <w:pPr>
              <w:pStyle w:val="BodyText1"/>
              <w:spacing w:after="240"/>
              <w:rPr>
                <w:rFonts w:ascii="Times New Roman" w:hAnsi="Times New Roman"/>
                <w:bCs/>
                <w:sz w:val="24"/>
                <w:szCs w:val="24"/>
              </w:rPr>
            </w:pPr>
            <w:r>
              <w:rPr>
                <w:rFonts w:ascii="Times New Roman" w:hAnsi="Times New Roman"/>
                <w:sz w:val="24"/>
              </w:rPr>
              <w:lastRenderedPageBreak/>
              <w:t>{0065;0010}</w:t>
            </w:r>
          </w:p>
        </w:tc>
        <w:tc>
          <w:tcPr>
            <w:tcW w:w="7406" w:type="dxa"/>
            <w:shd w:val="clear" w:color="auto" w:fill="FFFFFF"/>
          </w:tcPr>
          <w:p w14:paraId="40B65940" w14:textId="26A29B28" w:rsidR="004968DF" w:rsidRPr="000B66BC" w:rsidRDefault="004968DF" w:rsidP="000B66BC">
            <w:pPr>
              <w:pStyle w:val="BodyText1"/>
              <w:spacing w:after="240" w:line="240" w:lineRule="auto"/>
              <w:rPr>
                <w:rFonts w:ascii="Times New Roman" w:hAnsi="Times New Roman"/>
                <w:b/>
                <w:bCs/>
                <w:sz w:val="24"/>
                <w:szCs w:val="24"/>
              </w:rPr>
            </w:pPr>
            <w:r>
              <w:rPr>
                <w:rFonts w:ascii="Times New Roman" w:hAnsi="Times New Roman"/>
                <w:b/>
                <w:sz w:val="24"/>
              </w:rPr>
              <w:t>Riska darījuma vērtības, kas izriet no papildu procedūras attiecībā pret kredītu atvasinātajiem instrumentiem – sviras rādītāja riska darījuma vērtība</w:t>
            </w:r>
          </w:p>
          <w:p w14:paraId="1E879EE4" w14:textId="70635271" w:rsidR="00EC2C14" w:rsidRPr="000B66BC" w:rsidRDefault="000D3973" w:rsidP="000B66BC">
            <w:pPr>
              <w:pStyle w:val="BodyText1"/>
              <w:spacing w:after="240" w:line="240" w:lineRule="auto"/>
              <w:rPr>
                <w:rFonts w:ascii="Times New Roman" w:hAnsi="Times New Roman"/>
                <w:b/>
                <w:bCs/>
                <w:sz w:val="24"/>
                <w:szCs w:val="24"/>
              </w:rPr>
            </w:pPr>
            <w:r>
              <w:rPr>
                <w:rFonts w:ascii="Times New Roman" w:hAnsi="Times New Roman"/>
                <w:sz w:val="24"/>
              </w:rPr>
              <w:t>Šī šūna atbilst starpībai starp {LRCalc;0130;0010} un {LRCalc;0140;0010}, izņemot attiecīgos grupas iekšējos riska darījumus (individuālā līmenī), kas ir atbrīvoti saskaņā ar Regulas (ES) Nr. 575/2013 429.a panta 1. punkta c) apakšpunktu.</w:t>
            </w:r>
          </w:p>
        </w:tc>
      </w:tr>
      <w:tr w:rsidR="002A54FF" w:rsidRPr="00E75BB8" w14:paraId="07289AF9" w14:textId="77777777" w:rsidTr="000B66BC">
        <w:trPr>
          <w:trHeight w:val="71"/>
        </w:trPr>
        <w:tc>
          <w:tcPr>
            <w:tcW w:w="1559" w:type="dxa"/>
            <w:shd w:val="clear" w:color="auto" w:fill="FFFFFF"/>
          </w:tcPr>
          <w:p w14:paraId="6AB8700E" w14:textId="3A0BBEE5"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{0070;0010}</w:t>
            </w:r>
          </w:p>
        </w:tc>
        <w:tc>
          <w:tcPr>
            <w:tcW w:w="7406" w:type="dxa"/>
            <w:shd w:val="clear" w:color="auto" w:fill="FFFFFF"/>
          </w:tcPr>
          <w:p w14:paraId="330EEA74" w14:textId="3FC00B7E"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Citi aktīvi tirdzniecības portfelī – sviras rādītāja riska darījuma vērtība</w:t>
            </w:r>
          </w:p>
          <w:p w14:paraId="1E037EEA" w14:textId="4585B1FF"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To posteņu sviras rādītāja riska darījuma vērtība, kas uzrādīti {LRCalc;0190;0010}, izņemot </w:t>
            </w:r>
            <w:proofErr w:type="spellStart"/>
            <w:r>
              <w:rPr>
                <w:rFonts w:ascii="Times New Roman" w:hAnsi="Times New Roman"/>
                <w:sz w:val="24"/>
              </w:rPr>
              <w:t>netirdzniecības</w:t>
            </w:r>
            <w:proofErr w:type="spellEnd"/>
            <w:r>
              <w:rPr>
                <w:rFonts w:ascii="Times New Roman" w:hAnsi="Times New Roman"/>
                <w:sz w:val="24"/>
              </w:rPr>
              <w:t xml:space="preserve"> portfeļa posteņus.</w:t>
            </w:r>
          </w:p>
        </w:tc>
      </w:tr>
      <w:tr w:rsidR="002A54FF" w:rsidRPr="00E75BB8" w14:paraId="57915034" w14:textId="77777777" w:rsidTr="000B66BC">
        <w:trPr>
          <w:trHeight w:val="71"/>
        </w:trPr>
        <w:tc>
          <w:tcPr>
            <w:tcW w:w="1559" w:type="dxa"/>
            <w:shd w:val="clear" w:color="auto" w:fill="FFFFFF"/>
          </w:tcPr>
          <w:p w14:paraId="3BCDEC45" w14:textId="088A2CCB"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{0070;0020}</w:t>
            </w:r>
          </w:p>
        </w:tc>
        <w:tc>
          <w:tcPr>
            <w:tcW w:w="7406" w:type="dxa"/>
            <w:shd w:val="clear" w:color="auto" w:fill="FFFFFF"/>
          </w:tcPr>
          <w:p w14:paraId="6FF1BCA1" w14:textId="350A599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Citi aktīvi tirdzniecības portfelī – </w:t>
            </w:r>
            <w:r>
              <w:rPr>
                <w:rFonts w:ascii="Times New Roman" w:hAnsi="Times New Roman"/>
                <w:b/>
                <w:i/>
                <w:iCs/>
                <w:sz w:val="24"/>
              </w:rPr>
              <w:t>RWEA</w:t>
            </w:r>
          </w:p>
          <w:p w14:paraId="17C0B94C" w14:textId="2D5EB176"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Pašu kapitāla prasības, kas reizinātas ar 12,5, attiecībā uz posteņiem, uz kuriem attiecas Regulas (ES) Nr. 575/2013 trešās daļas IV sadaļa.</w:t>
            </w:r>
          </w:p>
        </w:tc>
      </w:tr>
      <w:tr w:rsidR="002A54FF" w:rsidRPr="00E75BB8" w14:paraId="30AD6972" w14:textId="77777777" w:rsidTr="000B66BC">
        <w:trPr>
          <w:trHeight w:val="71"/>
        </w:trPr>
        <w:tc>
          <w:tcPr>
            <w:tcW w:w="1559" w:type="dxa"/>
            <w:shd w:val="clear" w:color="auto" w:fill="FFFFFF"/>
          </w:tcPr>
          <w:p w14:paraId="7CBED28C" w14:textId="1FF40440"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{0080;0010}</w:t>
            </w:r>
          </w:p>
        </w:tc>
        <w:tc>
          <w:tcPr>
            <w:tcW w:w="7406" w:type="dxa"/>
            <w:shd w:val="clear" w:color="auto" w:fill="FFFFFF"/>
          </w:tcPr>
          <w:p w14:paraId="02FC2330" w14:textId="10761471"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Segtās obligācijas – Sviras rādītāja riska darījuma vērtība – </w:t>
            </w:r>
            <w:r>
              <w:rPr>
                <w:rFonts w:ascii="Times New Roman" w:hAnsi="Times New Roman"/>
                <w:b/>
                <w:i/>
                <w:iCs/>
                <w:sz w:val="24"/>
              </w:rPr>
              <w:t>SA</w:t>
            </w:r>
            <w:r>
              <w:rPr>
                <w:rFonts w:ascii="Times New Roman" w:hAnsi="Times New Roman"/>
                <w:b/>
                <w:sz w:val="24"/>
              </w:rPr>
              <w:t xml:space="preserve"> riska darījumi</w:t>
            </w:r>
          </w:p>
          <w:p w14:paraId="7DABED3A" w14:textId="24CAD1D0"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To aktīvu sviras rādītāja riska darījuma vērtība, kas ir </w:t>
            </w:r>
            <w:r>
              <w:rPr>
                <w:rFonts w:ascii="Times New Roman" w:hAnsi="Times New Roman"/>
                <w:i/>
                <w:iCs/>
                <w:sz w:val="24"/>
              </w:rPr>
              <w:t>SA</w:t>
            </w:r>
            <w:r>
              <w:rPr>
                <w:rFonts w:ascii="Times New Roman" w:hAnsi="Times New Roman"/>
                <w:sz w:val="24"/>
              </w:rPr>
              <w:t xml:space="preserve"> riska darījumi segto obligāciju veidā, kā noteikts Regulas (ES) Nr. 575/2013 129. pantā.</w:t>
            </w:r>
          </w:p>
          <w:p w14:paraId="1426D45B" w14:textId="0DF44122"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 xml:space="preserve">Iestādes šo vērtību norāda, atņemot </w:t>
            </w:r>
            <w:r>
              <w:rPr>
                <w:rFonts w:ascii="Times New Roman" w:hAnsi="Times New Roman"/>
                <w:i/>
                <w:iCs/>
                <w:sz w:val="24"/>
              </w:rPr>
              <w:t>SA</w:t>
            </w:r>
            <w:r>
              <w:rPr>
                <w:rFonts w:ascii="Times New Roman" w:hAnsi="Times New Roman"/>
                <w:sz w:val="24"/>
              </w:rPr>
              <w:t xml:space="preserve"> riska darījumus, kuros netiek pildītas saistības.</w:t>
            </w:r>
          </w:p>
        </w:tc>
      </w:tr>
      <w:tr w:rsidR="002A54FF" w:rsidRPr="00E75BB8" w14:paraId="56ECC5B8" w14:textId="77777777" w:rsidTr="000B66BC">
        <w:trPr>
          <w:trHeight w:val="71"/>
        </w:trPr>
        <w:tc>
          <w:tcPr>
            <w:tcW w:w="1559" w:type="dxa"/>
            <w:shd w:val="clear" w:color="auto" w:fill="FFFFFF"/>
          </w:tcPr>
          <w:p w14:paraId="07B311B6" w14:textId="2F59A0E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{0080;0020}</w:t>
            </w:r>
          </w:p>
        </w:tc>
        <w:tc>
          <w:tcPr>
            <w:tcW w:w="7406" w:type="dxa"/>
            <w:shd w:val="clear" w:color="auto" w:fill="FFFFFF"/>
          </w:tcPr>
          <w:p w14:paraId="7BBB17AE"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Segtās obligācijas – Sviras rādītāja riska darījuma vērtība – IRB riska darījumi</w:t>
            </w:r>
          </w:p>
          <w:p w14:paraId="31EFC20D" w14:textId="13DFD927"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To aktīvu sviras rādītāja riska darījumu vērtība, kas ir IRB riska darījumi segto obligāciju veidā, kā noteikts Regulas (ES) Nr. 575/2013 161. panta 1. punkta d) apakšpunktā.</w:t>
            </w:r>
          </w:p>
          <w:p w14:paraId="69149D8B" w14:textId="5AF9D0AA"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Iestādes šo vērtību norāda, atņemot IRB riska darījumus, kuros netiek pildītas saistības.</w:t>
            </w:r>
          </w:p>
        </w:tc>
      </w:tr>
      <w:tr w:rsidR="002A54FF" w:rsidRPr="00E75BB8" w14:paraId="1CBCAE59" w14:textId="77777777" w:rsidTr="000B66BC">
        <w:trPr>
          <w:trHeight w:val="71"/>
        </w:trPr>
        <w:tc>
          <w:tcPr>
            <w:tcW w:w="1559" w:type="dxa"/>
            <w:shd w:val="clear" w:color="auto" w:fill="FFFFFF"/>
          </w:tcPr>
          <w:p w14:paraId="546A1715" w14:textId="2259578F"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{0080;0030}</w:t>
            </w:r>
          </w:p>
        </w:tc>
        <w:tc>
          <w:tcPr>
            <w:tcW w:w="7406" w:type="dxa"/>
            <w:shd w:val="clear" w:color="auto" w:fill="FFFFFF"/>
          </w:tcPr>
          <w:p w14:paraId="05046869" w14:textId="5880D72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Segtās obligācijas – </w:t>
            </w:r>
            <w:r>
              <w:rPr>
                <w:rFonts w:ascii="Times New Roman" w:hAnsi="Times New Roman"/>
                <w:b/>
                <w:i/>
                <w:iCs/>
                <w:sz w:val="24"/>
              </w:rPr>
              <w:t>RWEA</w:t>
            </w:r>
            <w:r>
              <w:rPr>
                <w:rFonts w:ascii="Times New Roman" w:hAnsi="Times New Roman"/>
                <w:b/>
                <w:sz w:val="24"/>
              </w:rPr>
              <w:t xml:space="preserve"> – </w:t>
            </w:r>
            <w:r>
              <w:rPr>
                <w:rFonts w:ascii="Times New Roman" w:hAnsi="Times New Roman"/>
                <w:b/>
                <w:i/>
                <w:iCs/>
                <w:sz w:val="24"/>
              </w:rPr>
              <w:t>SA</w:t>
            </w:r>
            <w:r>
              <w:rPr>
                <w:rFonts w:ascii="Times New Roman" w:hAnsi="Times New Roman"/>
                <w:b/>
                <w:sz w:val="24"/>
              </w:rPr>
              <w:t xml:space="preserve"> riska darījumi</w:t>
            </w:r>
          </w:p>
          <w:p w14:paraId="6C4B05A8" w14:textId="0D9A76AD"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To aktīvu riska darījumu riska svērtā vērtība, kas ir </w:t>
            </w:r>
            <w:r>
              <w:rPr>
                <w:rFonts w:ascii="Times New Roman" w:hAnsi="Times New Roman"/>
                <w:i/>
                <w:iCs/>
                <w:sz w:val="24"/>
              </w:rPr>
              <w:t>SA</w:t>
            </w:r>
            <w:r>
              <w:rPr>
                <w:rFonts w:ascii="Times New Roman" w:hAnsi="Times New Roman"/>
                <w:sz w:val="24"/>
              </w:rPr>
              <w:t xml:space="preserve"> riska darījumi segto obligāciju veidā, kā noteikts Regulas (ES) Nr. 575/2013 129. pantā.</w:t>
            </w:r>
          </w:p>
          <w:p w14:paraId="44B63283" w14:textId="34A33B6E"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Iestādes šo vērtību norāda, atņemot </w:t>
            </w:r>
            <w:r>
              <w:rPr>
                <w:rFonts w:ascii="Times New Roman" w:hAnsi="Times New Roman"/>
                <w:i/>
                <w:iCs/>
                <w:sz w:val="24"/>
              </w:rPr>
              <w:t>SA</w:t>
            </w:r>
            <w:r>
              <w:rPr>
                <w:rFonts w:ascii="Times New Roman" w:hAnsi="Times New Roman"/>
                <w:sz w:val="24"/>
              </w:rPr>
              <w:t xml:space="preserve"> riska darījumus, kuros netiek pildītas saistības.</w:t>
            </w:r>
          </w:p>
        </w:tc>
      </w:tr>
      <w:tr w:rsidR="002A54FF" w:rsidRPr="00E75BB8" w14:paraId="49349ECB" w14:textId="77777777" w:rsidTr="000B66BC">
        <w:trPr>
          <w:trHeight w:val="71"/>
        </w:trPr>
        <w:tc>
          <w:tcPr>
            <w:tcW w:w="1559" w:type="dxa"/>
            <w:shd w:val="clear" w:color="auto" w:fill="FFFFFF"/>
          </w:tcPr>
          <w:p w14:paraId="0D794F3F" w14:textId="2F016AE6"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{0080;0040}</w:t>
            </w:r>
          </w:p>
        </w:tc>
        <w:tc>
          <w:tcPr>
            <w:tcW w:w="7406" w:type="dxa"/>
            <w:shd w:val="clear" w:color="auto" w:fill="FFFFFF"/>
          </w:tcPr>
          <w:p w14:paraId="513DAEE1" w14:textId="752BA960"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Segtās obligācijas – </w:t>
            </w:r>
            <w:r>
              <w:rPr>
                <w:rFonts w:ascii="Times New Roman" w:hAnsi="Times New Roman"/>
                <w:b/>
                <w:i/>
                <w:iCs/>
                <w:sz w:val="24"/>
              </w:rPr>
              <w:t>RWEA</w:t>
            </w:r>
            <w:r>
              <w:rPr>
                <w:rFonts w:ascii="Times New Roman" w:hAnsi="Times New Roman"/>
                <w:b/>
                <w:sz w:val="24"/>
              </w:rPr>
              <w:t xml:space="preserve"> – IRB riska darījumi</w:t>
            </w:r>
          </w:p>
          <w:p w14:paraId="466ABC6A" w14:textId="79C7859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To aktīvu riska darījumu riska svērtā vērtība, kas ir IRB riska darījumi segto obligāciju veidā, kā noteikts Regulas (ES) Nr. 575/2013 161. panta 1. punkta d) apakšpunktā.</w:t>
            </w:r>
          </w:p>
          <w:p w14:paraId="64310FB6" w14:textId="6BA49164"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Iestādes šo vērtību norāda, atņemot IRB riska darījumus, kuros netiek pildītas saistības.</w:t>
            </w:r>
          </w:p>
        </w:tc>
      </w:tr>
      <w:tr w:rsidR="002A54FF" w:rsidRPr="00E75BB8" w14:paraId="00C56CBD" w14:textId="77777777" w:rsidTr="000B66BC">
        <w:trPr>
          <w:trHeight w:val="71"/>
        </w:trPr>
        <w:tc>
          <w:tcPr>
            <w:tcW w:w="1559" w:type="dxa"/>
            <w:shd w:val="clear" w:color="auto" w:fill="FFFFFF"/>
          </w:tcPr>
          <w:p w14:paraId="02BCBE3F" w14:textId="6D5D74E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{0090,0010}</w:t>
            </w:r>
          </w:p>
        </w:tc>
        <w:tc>
          <w:tcPr>
            <w:tcW w:w="7406" w:type="dxa"/>
            <w:shd w:val="clear" w:color="auto" w:fill="FFFFFF"/>
          </w:tcPr>
          <w:p w14:paraId="7C0C026C" w14:textId="236A8C03"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Riska darījumi, kurus uzskata par riska darījumiem ar valsti – Sviras rādītāja riska darījuma vērtība – </w:t>
            </w:r>
            <w:r>
              <w:rPr>
                <w:rFonts w:ascii="Times New Roman" w:hAnsi="Times New Roman"/>
                <w:b/>
                <w:i/>
                <w:iCs/>
                <w:sz w:val="24"/>
              </w:rPr>
              <w:t>SA</w:t>
            </w:r>
            <w:r>
              <w:rPr>
                <w:rFonts w:ascii="Times New Roman" w:hAnsi="Times New Roman"/>
                <w:b/>
                <w:sz w:val="24"/>
              </w:rPr>
              <w:t xml:space="preserve"> riska darījumi</w:t>
            </w:r>
          </w:p>
          <w:p w14:paraId="0909B157" w14:textId="2673F01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Tā ir {0100,0010} līdz {0130,0010} šūnu summa.</w:t>
            </w:r>
          </w:p>
          <w:p w14:paraId="144D9E7A" w14:textId="795F478B" w:rsidR="002509B1" w:rsidRPr="000B66BC" w:rsidRDefault="00086A8A" w:rsidP="000B66BC">
            <w:pPr>
              <w:pStyle w:val="BodyText1"/>
              <w:spacing w:after="240" w:line="240" w:lineRule="auto"/>
              <w:rPr>
                <w:rFonts w:ascii="Times New Roman" w:hAnsi="Times New Roman"/>
                <w:sz w:val="24"/>
                <w:szCs w:val="24"/>
              </w:rPr>
            </w:pPr>
            <w:r>
              <w:rPr>
                <w:rFonts w:ascii="Times New Roman" w:hAnsi="Times New Roman"/>
                <w:sz w:val="24"/>
              </w:rPr>
              <w:t xml:space="preserve">Iestādes šo vērtību norāda, atņemot </w:t>
            </w:r>
            <w:r>
              <w:rPr>
                <w:rFonts w:ascii="Times New Roman" w:hAnsi="Times New Roman"/>
                <w:i/>
                <w:iCs/>
                <w:sz w:val="24"/>
              </w:rPr>
              <w:t>SA</w:t>
            </w:r>
            <w:r>
              <w:rPr>
                <w:rFonts w:ascii="Times New Roman" w:hAnsi="Times New Roman"/>
                <w:sz w:val="24"/>
              </w:rPr>
              <w:t xml:space="preserve"> riska darījumus, kuros netiek pildītas saistības.</w:t>
            </w:r>
          </w:p>
        </w:tc>
      </w:tr>
      <w:tr w:rsidR="002A54FF" w:rsidRPr="00E75BB8" w14:paraId="312BA98B" w14:textId="77777777" w:rsidTr="000B66BC">
        <w:trPr>
          <w:trHeight w:val="71"/>
        </w:trPr>
        <w:tc>
          <w:tcPr>
            <w:tcW w:w="1559" w:type="dxa"/>
            <w:shd w:val="clear" w:color="auto" w:fill="FFFFFF"/>
          </w:tcPr>
          <w:p w14:paraId="30E94DE7" w14:textId="72315A87"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{0090;0020}</w:t>
            </w:r>
          </w:p>
        </w:tc>
        <w:tc>
          <w:tcPr>
            <w:tcW w:w="7406" w:type="dxa"/>
            <w:shd w:val="clear" w:color="auto" w:fill="FFFFFF"/>
          </w:tcPr>
          <w:p w14:paraId="015E5616"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Riska darījumi, kurus uzskata par riska darījumiem ar valsti – Sviras rādītāja riska darījuma vērtība – IRB riska darījumi</w:t>
            </w:r>
          </w:p>
          <w:p w14:paraId="361C00EC" w14:textId="191A9CA8"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Tā ir {0100,0020} līdz {0130,0020} šūnu summa.</w:t>
            </w:r>
          </w:p>
          <w:p w14:paraId="4CE96745" w14:textId="2CF889E3"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Iestādes šo vērtību norāda, atņemot IRB riska darījumus, kuros netiek pildītas saistības.</w:t>
            </w:r>
          </w:p>
        </w:tc>
      </w:tr>
      <w:tr w:rsidR="002A54FF" w:rsidRPr="00E75BB8" w14:paraId="0C1D3372" w14:textId="77777777" w:rsidTr="000B66BC">
        <w:trPr>
          <w:trHeight w:val="71"/>
        </w:trPr>
        <w:tc>
          <w:tcPr>
            <w:tcW w:w="1559" w:type="dxa"/>
            <w:shd w:val="clear" w:color="auto" w:fill="FFFFFF"/>
          </w:tcPr>
          <w:p w14:paraId="73140D6A" w14:textId="181D4B9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{0090;0030}</w:t>
            </w:r>
          </w:p>
        </w:tc>
        <w:tc>
          <w:tcPr>
            <w:tcW w:w="7406" w:type="dxa"/>
            <w:shd w:val="clear" w:color="auto" w:fill="FFFFFF"/>
          </w:tcPr>
          <w:p w14:paraId="63538621" w14:textId="36E91980"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Riska darījumi, kurus uzskata par riska darījumiem ar valsti – </w:t>
            </w:r>
            <w:r>
              <w:rPr>
                <w:rFonts w:ascii="Times New Roman" w:hAnsi="Times New Roman"/>
                <w:b/>
                <w:i/>
                <w:iCs/>
                <w:sz w:val="24"/>
              </w:rPr>
              <w:t>RWEA</w:t>
            </w:r>
            <w:r>
              <w:rPr>
                <w:rFonts w:ascii="Times New Roman" w:hAnsi="Times New Roman"/>
                <w:b/>
                <w:sz w:val="24"/>
              </w:rPr>
              <w:t xml:space="preserve"> – </w:t>
            </w:r>
            <w:r>
              <w:rPr>
                <w:rFonts w:ascii="Times New Roman" w:hAnsi="Times New Roman"/>
                <w:b/>
                <w:i/>
                <w:iCs/>
                <w:sz w:val="24"/>
              </w:rPr>
              <w:t>SA</w:t>
            </w:r>
            <w:r>
              <w:rPr>
                <w:rFonts w:ascii="Times New Roman" w:hAnsi="Times New Roman"/>
                <w:b/>
                <w:sz w:val="24"/>
              </w:rPr>
              <w:t xml:space="preserve"> riska darījumi</w:t>
            </w:r>
          </w:p>
          <w:p w14:paraId="2FE3A5A6" w14:textId="0A48A5C7"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Tā ir {0100,0030} līdz {0130,0030} šūnu summa.</w:t>
            </w:r>
          </w:p>
          <w:p w14:paraId="576656CF" w14:textId="7109E0FD"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Iestādes šo vērtību norāda, atņemot </w:t>
            </w:r>
            <w:r>
              <w:rPr>
                <w:rFonts w:ascii="Times New Roman" w:hAnsi="Times New Roman"/>
                <w:i/>
                <w:iCs/>
                <w:sz w:val="24"/>
              </w:rPr>
              <w:t>SA</w:t>
            </w:r>
            <w:r>
              <w:rPr>
                <w:rFonts w:ascii="Times New Roman" w:hAnsi="Times New Roman"/>
                <w:sz w:val="24"/>
              </w:rPr>
              <w:t xml:space="preserve"> riska darījumus, kuros netiek pildītas saistības.</w:t>
            </w:r>
          </w:p>
        </w:tc>
      </w:tr>
      <w:tr w:rsidR="002A54FF" w:rsidRPr="00E75BB8" w14:paraId="6675B4A2" w14:textId="77777777" w:rsidTr="000B66BC">
        <w:trPr>
          <w:trHeight w:val="71"/>
        </w:trPr>
        <w:tc>
          <w:tcPr>
            <w:tcW w:w="1559" w:type="dxa"/>
            <w:shd w:val="clear" w:color="auto" w:fill="FFFFFF"/>
          </w:tcPr>
          <w:p w14:paraId="574B53A3" w14:textId="5AEDFC5A"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{0090;0040}</w:t>
            </w:r>
          </w:p>
        </w:tc>
        <w:tc>
          <w:tcPr>
            <w:tcW w:w="7406" w:type="dxa"/>
            <w:shd w:val="clear" w:color="auto" w:fill="FFFFFF"/>
          </w:tcPr>
          <w:p w14:paraId="7FD46908" w14:textId="76F6E52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Riska darījumi, kurus uzskata par riska darījumiem ar valsti – </w:t>
            </w:r>
            <w:r>
              <w:rPr>
                <w:rFonts w:ascii="Times New Roman" w:hAnsi="Times New Roman"/>
                <w:b/>
                <w:i/>
                <w:iCs/>
                <w:sz w:val="24"/>
              </w:rPr>
              <w:t>RWEA</w:t>
            </w:r>
            <w:r>
              <w:rPr>
                <w:rFonts w:ascii="Times New Roman" w:hAnsi="Times New Roman"/>
                <w:b/>
                <w:sz w:val="24"/>
              </w:rPr>
              <w:t xml:space="preserve"> – IRB riska darījumi</w:t>
            </w:r>
          </w:p>
          <w:p w14:paraId="0EE39545" w14:textId="4A51FB51"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Tā ir {0100,0040} līdz {0130,0040} šūnu summa.</w:t>
            </w:r>
          </w:p>
          <w:p w14:paraId="21E4ED70" w14:textId="10D77DF8"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Iestādes šo vērtību norāda, atņemot IRB riska darījumus, kuros netiek pildītas saistības.</w:t>
            </w:r>
          </w:p>
        </w:tc>
      </w:tr>
      <w:tr w:rsidR="002A54FF" w:rsidRPr="00E75BB8" w14:paraId="7DDC06EC" w14:textId="77777777" w:rsidTr="000B66BC">
        <w:trPr>
          <w:trHeight w:val="71"/>
        </w:trPr>
        <w:tc>
          <w:tcPr>
            <w:tcW w:w="1559" w:type="dxa"/>
            <w:shd w:val="clear" w:color="auto" w:fill="FFFFFF"/>
          </w:tcPr>
          <w:p w14:paraId="4C9F879D" w14:textId="3D24C7C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{0100;0010}</w:t>
            </w:r>
          </w:p>
        </w:tc>
        <w:tc>
          <w:tcPr>
            <w:tcW w:w="7406" w:type="dxa"/>
            <w:shd w:val="clear" w:color="auto" w:fill="FFFFFF"/>
          </w:tcPr>
          <w:p w14:paraId="1F2266EE" w14:textId="77777777"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b/>
                <w:bCs/>
                <w:sz w:val="24"/>
              </w:rPr>
              <w:t xml:space="preserve">Centrālās valdības un centrālās bankas – Sviras rādītāja riska darījuma vērtība – </w:t>
            </w:r>
            <w:r>
              <w:rPr>
                <w:rFonts w:ascii="Times New Roman" w:hAnsi="Times New Roman"/>
                <w:b/>
                <w:bCs/>
                <w:i/>
                <w:iCs/>
                <w:sz w:val="24"/>
              </w:rPr>
              <w:t>SA</w:t>
            </w:r>
            <w:r>
              <w:rPr>
                <w:rFonts w:ascii="Times New Roman" w:hAnsi="Times New Roman"/>
                <w:b/>
                <w:bCs/>
                <w:sz w:val="24"/>
              </w:rPr>
              <w:t xml:space="preserve"> riska darījumi</w:t>
            </w:r>
          </w:p>
          <w:p w14:paraId="6613A997" w14:textId="765CDB47"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To aktīvu sviras rādītāja riska darījuma vērtība, kas ir </w:t>
            </w:r>
            <w:r>
              <w:rPr>
                <w:rFonts w:ascii="Times New Roman" w:hAnsi="Times New Roman"/>
                <w:i/>
                <w:iCs/>
                <w:sz w:val="24"/>
              </w:rPr>
              <w:t>SA</w:t>
            </w:r>
            <w:r>
              <w:rPr>
                <w:rFonts w:ascii="Times New Roman" w:hAnsi="Times New Roman"/>
                <w:sz w:val="24"/>
              </w:rPr>
              <w:t xml:space="preserve"> riska darījumi ar centrālajām valdībām vai centrālajām bankām, kā noteikts Regulas (ES) Nr. 575/2013 114. pantā.</w:t>
            </w:r>
          </w:p>
          <w:p w14:paraId="7F55138D" w14:textId="75576E6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Iestādes šo vērtību norāda, atņemot </w:t>
            </w:r>
            <w:r>
              <w:rPr>
                <w:rFonts w:ascii="Times New Roman" w:hAnsi="Times New Roman"/>
                <w:i/>
                <w:iCs/>
                <w:sz w:val="24"/>
              </w:rPr>
              <w:t>SA</w:t>
            </w:r>
            <w:r>
              <w:rPr>
                <w:rFonts w:ascii="Times New Roman" w:hAnsi="Times New Roman"/>
                <w:sz w:val="24"/>
              </w:rPr>
              <w:t xml:space="preserve"> riska darījumus, kuros netiek pildītas saistības.</w:t>
            </w:r>
          </w:p>
        </w:tc>
      </w:tr>
      <w:tr w:rsidR="002A54FF" w:rsidRPr="00E75BB8" w14:paraId="0B4E6569" w14:textId="77777777" w:rsidTr="000B66BC">
        <w:trPr>
          <w:trHeight w:val="71"/>
        </w:trPr>
        <w:tc>
          <w:tcPr>
            <w:tcW w:w="1559" w:type="dxa"/>
            <w:shd w:val="clear" w:color="auto" w:fill="FFFFFF"/>
          </w:tcPr>
          <w:p w14:paraId="7D0291ED" w14:textId="3AD0608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{0100;0020}</w:t>
            </w:r>
          </w:p>
        </w:tc>
        <w:tc>
          <w:tcPr>
            <w:tcW w:w="7406" w:type="dxa"/>
            <w:shd w:val="clear" w:color="auto" w:fill="FFFFFF"/>
          </w:tcPr>
          <w:p w14:paraId="66A53D96" w14:textId="77777777"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b/>
                <w:bCs/>
                <w:sz w:val="24"/>
              </w:rPr>
              <w:t>Centrālās valdības un centrālās bankas – Sviras rādītāja riska darījuma vērtība – IRB riska darījumi</w:t>
            </w:r>
          </w:p>
          <w:p w14:paraId="517FD145" w14:textId="63552282"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To aktīvu sviras rādītāja riska darījuma vērtība, kas ir riska IRB darījumi ar centrālajām valdībām vai centrālajām bankām, kā noteikts Regulas (ES) Nr. 575/2013 147. panta 2. punkta a) apakšpunktā.</w:t>
            </w:r>
          </w:p>
          <w:p w14:paraId="0885AD1A" w14:textId="0035770A"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Iestādes šo vērtību norāda, atņemot IRB riska darījumus, kuros netiek pildītas saistības.</w:t>
            </w:r>
          </w:p>
        </w:tc>
      </w:tr>
      <w:tr w:rsidR="002A54FF" w:rsidRPr="00E75BB8" w14:paraId="73380BA6" w14:textId="77777777" w:rsidTr="000B66BC">
        <w:trPr>
          <w:trHeight w:val="71"/>
        </w:trPr>
        <w:tc>
          <w:tcPr>
            <w:tcW w:w="1559" w:type="dxa"/>
            <w:shd w:val="clear" w:color="auto" w:fill="FFFFFF"/>
          </w:tcPr>
          <w:p w14:paraId="59953201" w14:textId="4A0778FE"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{0100;0030}</w:t>
            </w:r>
          </w:p>
        </w:tc>
        <w:tc>
          <w:tcPr>
            <w:tcW w:w="7406" w:type="dxa"/>
            <w:shd w:val="clear" w:color="auto" w:fill="FFFFFF"/>
          </w:tcPr>
          <w:p w14:paraId="26718359" w14:textId="1E245CA7" w:rsidR="002509B1" w:rsidRPr="000B66BC" w:rsidRDefault="00F4754B" w:rsidP="000B66BC">
            <w:pPr>
              <w:pStyle w:val="BodyText1"/>
              <w:spacing w:after="240" w:line="240" w:lineRule="auto"/>
              <w:rPr>
                <w:rFonts w:ascii="Times New Roman" w:hAnsi="Times New Roman"/>
                <w:sz w:val="24"/>
                <w:szCs w:val="24"/>
              </w:rPr>
            </w:pPr>
            <w:r>
              <w:rPr>
                <w:rFonts w:ascii="Times New Roman" w:hAnsi="Times New Roman"/>
                <w:b/>
                <w:bCs/>
                <w:sz w:val="24"/>
              </w:rPr>
              <w:t xml:space="preserve">Centrālās valdības un centrālās bankas – </w:t>
            </w:r>
            <w:r>
              <w:rPr>
                <w:rFonts w:ascii="Times New Roman" w:hAnsi="Times New Roman"/>
                <w:b/>
                <w:bCs/>
                <w:i/>
                <w:iCs/>
                <w:sz w:val="24"/>
              </w:rPr>
              <w:t>RWEA</w:t>
            </w:r>
            <w:r>
              <w:rPr>
                <w:rFonts w:ascii="Times New Roman" w:hAnsi="Times New Roman"/>
                <w:b/>
                <w:bCs/>
                <w:sz w:val="24"/>
              </w:rPr>
              <w:t xml:space="preserve"> – </w:t>
            </w:r>
            <w:r>
              <w:rPr>
                <w:rFonts w:ascii="Times New Roman" w:hAnsi="Times New Roman"/>
                <w:b/>
                <w:bCs/>
                <w:i/>
                <w:iCs/>
                <w:sz w:val="24"/>
              </w:rPr>
              <w:t>SA</w:t>
            </w:r>
            <w:r>
              <w:rPr>
                <w:rFonts w:ascii="Times New Roman" w:hAnsi="Times New Roman"/>
                <w:b/>
                <w:bCs/>
                <w:sz w:val="24"/>
              </w:rPr>
              <w:t xml:space="preserve"> riska darījumi</w:t>
            </w:r>
          </w:p>
          <w:p w14:paraId="1057171E" w14:textId="5419CED6"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To aktīvu riska darījumu riska svērtā vērtība, kas ir </w:t>
            </w:r>
            <w:r>
              <w:rPr>
                <w:rFonts w:ascii="Times New Roman" w:hAnsi="Times New Roman"/>
                <w:i/>
                <w:iCs/>
                <w:sz w:val="24"/>
              </w:rPr>
              <w:t>SA</w:t>
            </w:r>
            <w:r>
              <w:rPr>
                <w:rFonts w:ascii="Times New Roman" w:hAnsi="Times New Roman"/>
                <w:sz w:val="24"/>
              </w:rPr>
              <w:t xml:space="preserve"> riska darījumi ar centrālajām valdībām vai centrālajām bankām, kā noteikts Regulas (ES) Nr. 575/2013 114. pantā.</w:t>
            </w:r>
          </w:p>
          <w:p w14:paraId="47506B7A" w14:textId="150E5BC3"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Iestādes šo vērtību norāda, atņemot </w:t>
            </w:r>
            <w:r>
              <w:rPr>
                <w:rFonts w:ascii="Times New Roman" w:hAnsi="Times New Roman"/>
                <w:i/>
                <w:iCs/>
                <w:sz w:val="24"/>
              </w:rPr>
              <w:t>SA</w:t>
            </w:r>
            <w:r>
              <w:rPr>
                <w:rFonts w:ascii="Times New Roman" w:hAnsi="Times New Roman"/>
                <w:sz w:val="24"/>
              </w:rPr>
              <w:t xml:space="preserve"> riska darījumus, kuros netiek pildītas saistības.</w:t>
            </w:r>
          </w:p>
        </w:tc>
      </w:tr>
      <w:tr w:rsidR="002A54FF" w:rsidRPr="00E75BB8" w14:paraId="4C792316" w14:textId="77777777" w:rsidTr="000B66BC">
        <w:trPr>
          <w:trHeight w:val="71"/>
        </w:trPr>
        <w:tc>
          <w:tcPr>
            <w:tcW w:w="1559" w:type="dxa"/>
            <w:shd w:val="clear" w:color="auto" w:fill="FFFFFF"/>
          </w:tcPr>
          <w:p w14:paraId="4823C176" w14:textId="2320977D"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{0100;0040}</w:t>
            </w:r>
          </w:p>
        </w:tc>
        <w:tc>
          <w:tcPr>
            <w:tcW w:w="7406" w:type="dxa"/>
            <w:shd w:val="clear" w:color="auto" w:fill="FFFFFF"/>
          </w:tcPr>
          <w:p w14:paraId="1EC1A3E9" w14:textId="34606682"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b/>
                <w:bCs/>
                <w:sz w:val="24"/>
              </w:rPr>
              <w:t xml:space="preserve">Centrālās valdības un centrālās bankas – </w:t>
            </w:r>
            <w:r>
              <w:rPr>
                <w:rFonts w:ascii="Times New Roman" w:hAnsi="Times New Roman"/>
                <w:b/>
                <w:bCs/>
                <w:i/>
                <w:iCs/>
                <w:sz w:val="24"/>
              </w:rPr>
              <w:t>RWEA</w:t>
            </w:r>
            <w:r>
              <w:rPr>
                <w:rFonts w:ascii="Times New Roman" w:hAnsi="Times New Roman"/>
                <w:b/>
                <w:bCs/>
                <w:sz w:val="24"/>
              </w:rPr>
              <w:t xml:space="preserve"> – IRB riska darījumi</w:t>
            </w:r>
          </w:p>
          <w:p w14:paraId="47A75B9C" w14:textId="7D20BA0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To aktīvu riska darījumu riska svērtā vērtība, kas ir riska IRB darījumi ar centrālajām valdībām vai centrālajām bankām, kā noteikts Regulas (ES) Nr. 575/2013 147. panta 2. punkta a) apakšpunktā.</w:t>
            </w:r>
          </w:p>
          <w:p w14:paraId="58C303E4" w14:textId="75B02A12"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Iestādes šo vērtību norāda, atņemot IRB riska darījumus, kuros netiek pildītas saistības.</w:t>
            </w:r>
          </w:p>
        </w:tc>
      </w:tr>
      <w:tr w:rsidR="002A54FF" w:rsidRPr="00E75BB8" w14:paraId="7B8E2851" w14:textId="77777777" w:rsidTr="000B66BC">
        <w:trPr>
          <w:trHeight w:val="71"/>
        </w:trPr>
        <w:tc>
          <w:tcPr>
            <w:tcW w:w="1559" w:type="dxa"/>
            <w:shd w:val="clear" w:color="auto" w:fill="FFFFFF"/>
          </w:tcPr>
          <w:p w14:paraId="5E43D3FD" w14:textId="0F5E5E7C"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{0110;0010}</w:t>
            </w:r>
          </w:p>
        </w:tc>
        <w:tc>
          <w:tcPr>
            <w:tcW w:w="7406" w:type="dxa"/>
            <w:shd w:val="clear" w:color="auto" w:fill="FFFFFF"/>
          </w:tcPr>
          <w:p w14:paraId="0A9C6204" w14:textId="024ADD9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Reģionālās pašvaldības un vietējās pašpārvaldes, kuras uzskata par valsti – Sviras rādītāja riska darījuma vērtība – </w:t>
            </w:r>
            <w:r>
              <w:rPr>
                <w:rFonts w:ascii="Times New Roman" w:hAnsi="Times New Roman"/>
                <w:b/>
                <w:i/>
                <w:iCs/>
                <w:sz w:val="24"/>
              </w:rPr>
              <w:t>SA</w:t>
            </w:r>
            <w:r>
              <w:rPr>
                <w:rFonts w:ascii="Times New Roman" w:hAnsi="Times New Roman"/>
                <w:b/>
                <w:sz w:val="24"/>
              </w:rPr>
              <w:t xml:space="preserve"> riska darījumi</w:t>
            </w:r>
          </w:p>
          <w:p w14:paraId="5294E5EC" w14:textId="6B8CEFDC"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To aktīvu sviras rādītāja riska darījuma vērtība, kas ir tādi SA riska darījumi ar reģionālajām pašvaldībām un vietējām pašpārvaldēm, kuras uzskata par valsti, uz kuriem attiecas Regulas (ES) Nr. 575/2013 115. panta 2. un 4. punkts.</w:t>
            </w:r>
          </w:p>
          <w:p w14:paraId="42456706" w14:textId="2E28EB95" w:rsidR="002509B1" w:rsidRPr="000B66BC" w:rsidRDefault="00086A8A" w:rsidP="000B66BC">
            <w:pPr>
              <w:pStyle w:val="BodyText1"/>
              <w:spacing w:after="240" w:line="240" w:lineRule="auto"/>
              <w:rPr>
                <w:rFonts w:ascii="Times New Roman" w:hAnsi="Times New Roman"/>
                <w:sz w:val="24"/>
                <w:szCs w:val="24"/>
              </w:rPr>
            </w:pPr>
            <w:r>
              <w:rPr>
                <w:rFonts w:ascii="Times New Roman" w:hAnsi="Times New Roman"/>
                <w:sz w:val="24"/>
              </w:rPr>
              <w:t xml:space="preserve">Iestādes šo vērtību norāda, atņemot </w:t>
            </w:r>
            <w:r>
              <w:rPr>
                <w:rFonts w:ascii="Times New Roman" w:hAnsi="Times New Roman"/>
                <w:i/>
                <w:iCs/>
                <w:sz w:val="24"/>
              </w:rPr>
              <w:t>SA</w:t>
            </w:r>
            <w:r>
              <w:rPr>
                <w:rFonts w:ascii="Times New Roman" w:hAnsi="Times New Roman"/>
                <w:sz w:val="24"/>
              </w:rPr>
              <w:t xml:space="preserve"> riska darījumus, kuros netiek pildītas saistības.</w:t>
            </w:r>
          </w:p>
        </w:tc>
      </w:tr>
      <w:tr w:rsidR="002A54FF" w:rsidRPr="00E75BB8" w14:paraId="1964D3AE" w14:textId="77777777" w:rsidTr="000B66BC">
        <w:trPr>
          <w:trHeight w:val="71"/>
        </w:trPr>
        <w:tc>
          <w:tcPr>
            <w:tcW w:w="1559" w:type="dxa"/>
            <w:shd w:val="clear" w:color="auto" w:fill="FFFFFF"/>
          </w:tcPr>
          <w:p w14:paraId="17ADB526" w14:textId="2E034212"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{0110;0020}</w:t>
            </w:r>
          </w:p>
        </w:tc>
        <w:tc>
          <w:tcPr>
            <w:tcW w:w="7406" w:type="dxa"/>
            <w:shd w:val="clear" w:color="auto" w:fill="FFFFFF"/>
          </w:tcPr>
          <w:p w14:paraId="7E0B20E2"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Reģionālās pašvaldības un vietējās pašpārvaldes, kuras uzskata par valsti – Sviras rādītāja riska darījuma vērtība – IRB riska darījumi</w:t>
            </w:r>
          </w:p>
          <w:p w14:paraId="02346C27" w14:textId="18DAC4FC"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To aktīvu riska darījumu vērtības mērs, kas ir tādi IRB riska darījumi ar reģionālajām pašvaldībām un vietējām pašpārvaldēm, uz kuriem attiecas Regulas (ES) Nr. 575/2013 147. panta 3. punkta a) apakšpunkts.</w:t>
            </w:r>
          </w:p>
          <w:p w14:paraId="3496D48C" w14:textId="78A5578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Iestādes šo vērtību norāda, atņemot IRB riska darījumus, kuros netiek pildītas saistības.</w:t>
            </w:r>
          </w:p>
        </w:tc>
      </w:tr>
      <w:tr w:rsidR="002A54FF" w:rsidRPr="00E75BB8" w14:paraId="2038F08C" w14:textId="77777777" w:rsidTr="000B66BC">
        <w:trPr>
          <w:trHeight w:val="71"/>
        </w:trPr>
        <w:tc>
          <w:tcPr>
            <w:tcW w:w="1559" w:type="dxa"/>
            <w:shd w:val="clear" w:color="auto" w:fill="FFFFFF"/>
          </w:tcPr>
          <w:p w14:paraId="4C19855D" w14:textId="4D9B42F1"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{0110;0030}</w:t>
            </w:r>
          </w:p>
        </w:tc>
        <w:tc>
          <w:tcPr>
            <w:tcW w:w="7406" w:type="dxa"/>
            <w:shd w:val="clear" w:color="auto" w:fill="FFFFFF"/>
          </w:tcPr>
          <w:p w14:paraId="0A1E21BF" w14:textId="5863EAF2"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Reģionālās pašvaldības un vietējās pašpārvaldes, kuras uzskata par valsti – </w:t>
            </w:r>
            <w:r>
              <w:rPr>
                <w:rFonts w:ascii="Times New Roman" w:hAnsi="Times New Roman"/>
                <w:b/>
                <w:i/>
                <w:iCs/>
                <w:sz w:val="24"/>
              </w:rPr>
              <w:t>RWEA</w:t>
            </w:r>
            <w:r>
              <w:rPr>
                <w:rFonts w:ascii="Times New Roman" w:hAnsi="Times New Roman"/>
                <w:b/>
                <w:sz w:val="24"/>
              </w:rPr>
              <w:t xml:space="preserve"> – </w:t>
            </w:r>
            <w:r>
              <w:rPr>
                <w:rFonts w:ascii="Times New Roman" w:hAnsi="Times New Roman"/>
                <w:b/>
                <w:i/>
                <w:iCs/>
                <w:sz w:val="24"/>
              </w:rPr>
              <w:t>SA</w:t>
            </w:r>
            <w:r>
              <w:rPr>
                <w:rFonts w:ascii="Times New Roman" w:hAnsi="Times New Roman"/>
                <w:b/>
                <w:sz w:val="24"/>
              </w:rPr>
              <w:t xml:space="preserve"> riska darījumi</w:t>
            </w:r>
          </w:p>
          <w:p w14:paraId="38C283FD" w14:textId="1BC3A6FB"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To aktīvu riska darījumu riska svērtā vērtība, kas ir tādi </w:t>
            </w:r>
            <w:r>
              <w:rPr>
                <w:rFonts w:ascii="Times New Roman" w:hAnsi="Times New Roman"/>
                <w:i/>
                <w:iCs/>
                <w:sz w:val="24"/>
              </w:rPr>
              <w:t>SA</w:t>
            </w:r>
            <w:r>
              <w:rPr>
                <w:rFonts w:ascii="Times New Roman" w:hAnsi="Times New Roman"/>
                <w:sz w:val="24"/>
              </w:rPr>
              <w:t xml:space="preserve"> riska darījumi ar reģionālajām pašvaldībām un vietējām pašpārvaldēm, kuras uzskata par valsti, uz kuriem attiecas Regulas (ES) Nr. 575/2013 115. panta 2. un 4. punkts.</w:t>
            </w:r>
          </w:p>
          <w:p w14:paraId="6D7AEF3D" w14:textId="0D5AC65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Iestādes šo vērtību norāda, atņemot </w:t>
            </w:r>
            <w:r>
              <w:rPr>
                <w:rFonts w:ascii="Times New Roman" w:hAnsi="Times New Roman"/>
                <w:i/>
                <w:iCs/>
                <w:sz w:val="24"/>
              </w:rPr>
              <w:t>SA</w:t>
            </w:r>
            <w:r>
              <w:rPr>
                <w:rFonts w:ascii="Times New Roman" w:hAnsi="Times New Roman"/>
                <w:sz w:val="24"/>
              </w:rPr>
              <w:t xml:space="preserve"> riska darījumus, kuros netiek pildītas saistības.</w:t>
            </w:r>
          </w:p>
        </w:tc>
      </w:tr>
      <w:tr w:rsidR="002A54FF" w:rsidRPr="00E75BB8" w14:paraId="5BE41E62" w14:textId="77777777" w:rsidTr="000B66BC">
        <w:trPr>
          <w:trHeight w:val="71"/>
        </w:trPr>
        <w:tc>
          <w:tcPr>
            <w:tcW w:w="1559" w:type="dxa"/>
            <w:shd w:val="clear" w:color="auto" w:fill="FFFFFF"/>
          </w:tcPr>
          <w:p w14:paraId="4370E83A" w14:textId="1FE63232"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{0110;0040}</w:t>
            </w:r>
          </w:p>
        </w:tc>
        <w:tc>
          <w:tcPr>
            <w:tcW w:w="7406" w:type="dxa"/>
            <w:shd w:val="clear" w:color="auto" w:fill="FFFFFF"/>
          </w:tcPr>
          <w:p w14:paraId="0A1135F8" w14:textId="6E787456"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Reģionālās pašvaldības un vietējās pašpārvaldes, kuras uzskata par valsti – </w:t>
            </w:r>
            <w:r>
              <w:rPr>
                <w:rFonts w:ascii="Times New Roman" w:hAnsi="Times New Roman"/>
                <w:b/>
                <w:i/>
                <w:iCs/>
                <w:sz w:val="24"/>
              </w:rPr>
              <w:t>RWEA</w:t>
            </w:r>
            <w:r>
              <w:rPr>
                <w:rFonts w:ascii="Times New Roman" w:hAnsi="Times New Roman"/>
                <w:b/>
                <w:sz w:val="24"/>
              </w:rPr>
              <w:t xml:space="preserve"> – IRB riska darījumi</w:t>
            </w:r>
          </w:p>
          <w:p w14:paraId="099D799F" w14:textId="3BE99DD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To aktīvu riska darījumu riska svērtā vērtība, kas ir tādi IRB riska darījumi ar reģionālajām pašvaldībām un vietējām pašpārvaldēm, uz kuriem attiecas Regulas (ES) Nr. 575/2013 147. panta 3. punkta a) apakšpunkts.</w:t>
            </w:r>
          </w:p>
          <w:p w14:paraId="77DFB307" w14:textId="152C7BA5"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Iestādes šo vērtību norāda, atņemot IRB riska darījumus, kuros netiek pildītas saistības.</w:t>
            </w:r>
          </w:p>
        </w:tc>
      </w:tr>
      <w:tr w:rsidR="002A54FF" w:rsidRPr="00E75BB8" w14:paraId="4E6380BD" w14:textId="77777777" w:rsidTr="000B66BC">
        <w:trPr>
          <w:trHeight w:val="71"/>
        </w:trPr>
        <w:tc>
          <w:tcPr>
            <w:tcW w:w="1559" w:type="dxa"/>
            <w:shd w:val="clear" w:color="auto" w:fill="FFFFFF"/>
          </w:tcPr>
          <w:p w14:paraId="596E85C5" w14:textId="5E9760D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{0120;0010}</w:t>
            </w:r>
          </w:p>
        </w:tc>
        <w:tc>
          <w:tcPr>
            <w:tcW w:w="7406" w:type="dxa"/>
            <w:shd w:val="clear" w:color="auto" w:fill="FFFFFF"/>
          </w:tcPr>
          <w:p w14:paraId="4E16BD03" w14:textId="66901F1D"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 xml:space="preserve">DAB un starptautiskās organizācijas, kuras uzskata par valsti – Sviras rādītāja riska darījuma vērtība – </w:t>
            </w:r>
            <w:r>
              <w:rPr>
                <w:rFonts w:ascii="Times New Roman" w:hAnsi="Times New Roman"/>
                <w:b/>
                <w:i/>
                <w:iCs/>
                <w:sz w:val="24"/>
              </w:rPr>
              <w:t>SA</w:t>
            </w:r>
            <w:r>
              <w:rPr>
                <w:rFonts w:ascii="Times New Roman" w:hAnsi="Times New Roman"/>
                <w:b/>
                <w:sz w:val="24"/>
              </w:rPr>
              <w:t xml:space="preserve"> riska darījumi</w:t>
            </w:r>
          </w:p>
          <w:p w14:paraId="595E0D3B" w14:textId="0C58EC7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To aktīvu sviras rādītāja riska darījuma vērtība, kas ir tādi </w:t>
            </w:r>
            <w:r>
              <w:rPr>
                <w:rFonts w:ascii="Times New Roman" w:hAnsi="Times New Roman"/>
                <w:i/>
                <w:iCs/>
                <w:sz w:val="24"/>
              </w:rPr>
              <w:t>SA</w:t>
            </w:r>
            <w:r>
              <w:rPr>
                <w:rFonts w:ascii="Times New Roman" w:hAnsi="Times New Roman"/>
                <w:sz w:val="24"/>
              </w:rPr>
              <w:t xml:space="preserve"> riska darījumi ar daudzpusējām attīstības bankām un starptautiskām organizācijām, uz kuriem attiecas Regulas (EK) Nr. 575/2013 117. panta 2. punkts un 118. pants.</w:t>
            </w:r>
          </w:p>
          <w:p w14:paraId="4013B069" w14:textId="0EB1BFF4"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 xml:space="preserve">Iestādes šo vērtību norāda, atņemot </w:t>
            </w:r>
            <w:r>
              <w:rPr>
                <w:rFonts w:ascii="Times New Roman" w:hAnsi="Times New Roman"/>
                <w:i/>
                <w:iCs/>
                <w:sz w:val="24"/>
              </w:rPr>
              <w:t>SA</w:t>
            </w:r>
            <w:r>
              <w:rPr>
                <w:rFonts w:ascii="Times New Roman" w:hAnsi="Times New Roman"/>
                <w:sz w:val="24"/>
              </w:rPr>
              <w:t xml:space="preserve"> riska darījumus, kuros netiek pildītas saistības.</w:t>
            </w:r>
          </w:p>
        </w:tc>
      </w:tr>
      <w:tr w:rsidR="002A54FF" w:rsidRPr="00E75BB8" w14:paraId="26302257" w14:textId="77777777" w:rsidTr="000B66BC">
        <w:trPr>
          <w:trHeight w:val="71"/>
        </w:trPr>
        <w:tc>
          <w:tcPr>
            <w:tcW w:w="1559" w:type="dxa"/>
            <w:shd w:val="clear" w:color="auto" w:fill="FFFFFF"/>
          </w:tcPr>
          <w:p w14:paraId="5A4EAF45" w14:textId="12E4FA77"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{0120;0020}</w:t>
            </w:r>
          </w:p>
        </w:tc>
        <w:tc>
          <w:tcPr>
            <w:tcW w:w="7406" w:type="dxa"/>
            <w:shd w:val="clear" w:color="auto" w:fill="FFFFFF"/>
          </w:tcPr>
          <w:p w14:paraId="76A1CB53" w14:textId="541DA8FD"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DAB un starptautiskās organizācijas, kuras uzskata par valsti – Sviras rādītāja riska darījuma vērtība – IRB riska darījumi</w:t>
            </w:r>
          </w:p>
          <w:p w14:paraId="3802319A" w14:textId="4A7557C5"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To aktīvu sviras rādītāja riska darījuma vērtība, kas ir tādi IRB riska darījumi ar daudzpusējām attīstības bankām un starptautiskām organizācijām, uz kuriem attiecas Regulas (ES) Nr. 575/2013 147. panta 3. punkta b) un c) apakšpunkts.</w:t>
            </w:r>
          </w:p>
          <w:p w14:paraId="4070105A" w14:textId="4FC040B2"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Iestādes šo vērtību norāda, atņemot IRB riska darījumus, kuros netiek pildītas saistības.</w:t>
            </w:r>
          </w:p>
        </w:tc>
      </w:tr>
      <w:tr w:rsidR="002A54FF" w:rsidRPr="00E75BB8" w14:paraId="3B2553E8" w14:textId="77777777" w:rsidTr="000B66BC">
        <w:trPr>
          <w:trHeight w:val="71"/>
        </w:trPr>
        <w:tc>
          <w:tcPr>
            <w:tcW w:w="1559" w:type="dxa"/>
            <w:shd w:val="clear" w:color="auto" w:fill="FFFFFF"/>
          </w:tcPr>
          <w:p w14:paraId="1FA22EB0" w14:textId="05DF8D97"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{0120;0030}</w:t>
            </w:r>
          </w:p>
        </w:tc>
        <w:tc>
          <w:tcPr>
            <w:tcW w:w="7406" w:type="dxa"/>
            <w:shd w:val="clear" w:color="auto" w:fill="FFFFFF"/>
          </w:tcPr>
          <w:p w14:paraId="297278EC" w14:textId="1D7EC442"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 xml:space="preserve">DAB un starptautiskās organizācijas, kuras uzskata par valsti – </w:t>
            </w:r>
            <w:r>
              <w:rPr>
                <w:rFonts w:ascii="Times New Roman" w:hAnsi="Times New Roman"/>
                <w:b/>
                <w:i/>
                <w:iCs/>
                <w:sz w:val="24"/>
              </w:rPr>
              <w:t>RWEA</w:t>
            </w:r>
            <w:r>
              <w:rPr>
                <w:rFonts w:ascii="Times New Roman" w:hAnsi="Times New Roman"/>
                <w:b/>
                <w:sz w:val="24"/>
              </w:rPr>
              <w:t xml:space="preserve"> – </w:t>
            </w:r>
            <w:r>
              <w:rPr>
                <w:rFonts w:ascii="Times New Roman" w:hAnsi="Times New Roman"/>
                <w:b/>
                <w:i/>
                <w:iCs/>
                <w:sz w:val="24"/>
              </w:rPr>
              <w:t>SA</w:t>
            </w:r>
            <w:r>
              <w:rPr>
                <w:rFonts w:ascii="Times New Roman" w:hAnsi="Times New Roman"/>
                <w:b/>
                <w:sz w:val="24"/>
              </w:rPr>
              <w:t xml:space="preserve"> riska darījumi</w:t>
            </w:r>
          </w:p>
          <w:p w14:paraId="37FB9B14" w14:textId="12B4EAAC"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To aktīvu riska darījumu riska svērtā vērtība, kas ir tādi </w:t>
            </w:r>
            <w:r>
              <w:rPr>
                <w:rFonts w:ascii="Times New Roman" w:hAnsi="Times New Roman"/>
                <w:i/>
                <w:iCs/>
                <w:sz w:val="24"/>
              </w:rPr>
              <w:t>SA</w:t>
            </w:r>
            <w:r>
              <w:rPr>
                <w:rFonts w:ascii="Times New Roman" w:hAnsi="Times New Roman"/>
                <w:sz w:val="24"/>
              </w:rPr>
              <w:t xml:space="preserve"> riska darījumi ar daudzpusējām attīstības bankām un starptautiskām organizācijām, uz kuriem attiecas Regulas (EK) Nr. 575/2013 117. panta 2. punkts un 118. pants.</w:t>
            </w:r>
          </w:p>
          <w:p w14:paraId="21D9C9F4" w14:textId="49EA3C70"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lastRenderedPageBreak/>
              <w:t xml:space="preserve">Iestādes šo vērtību norāda, atņemot </w:t>
            </w:r>
            <w:r>
              <w:rPr>
                <w:rFonts w:ascii="Times New Roman" w:hAnsi="Times New Roman"/>
                <w:i/>
                <w:iCs/>
                <w:sz w:val="24"/>
              </w:rPr>
              <w:t>SA</w:t>
            </w:r>
            <w:r>
              <w:rPr>
                <w:rFonts w:ascii="Times New Roman" w:hAnsi="Times New Roman"/>
                <w:sz w:val="24"/>
              </w:rPr>
              <w:t xml:space="preserve"> riska darījumus, kuros netiek pildītas saistības.</w:t>
            </w:r>
          </w:p>
        </w:tc>
      </w:tr>
      <w:tr w:rsidR="002A54FF" w:rsidRPr="00E75BB8" w14:paraId="57DE532D" w14:textId="77777777" w:rsidTr="000B66BC">
        <w:trPr>
          <w:trHeight w:val="71"/>
        </w:trPr>
        <w:tc>
          <w:tcPr>
            <w:tcW w:w="1559" w:type="dxa"/>
            <w:shd w:val="clear" w:color="auto" w:fill="FFFFFF"/>
          </w:tcPr>
          <w:p w14:paraId="2210C2F3" w14:textId="0756556E"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{1020;0040}</w:t>
            </w:r>
          </w:p>
        </w:tc>
        <w:tc>
          <w:tcPr>
            <w:tcW w:w="7406" w:type="dxa"/>
            <w:shd w:val="clear" w:color="auto" w:fill="FFFFFF"/>
          </w:tcPr>
          <w:p w14:paraId="25AE3663" w14:textId="3A1D7E0A"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 xml:space="preserve">DAB un starptautiskās organizācijas, kuras uzskata par valsti – </w:t>
            </w:r>
            <w:r>
              <w:rPr>
                <w:rFonts w:ascii="Times New Roman" w:hAnsi="Times New Roman"/>
                <w:b/>
                <w:i/>
                <w:iCs/>
                <w:sz w:val="24"/>
              </w:rPr>
              <w:t>RWEA</w:t>
            </w:r>
            <w:r>
              <w:rPr>
                <w:rFonts w:ascii="Times New Roman" w:hAnsi="Times New Roman"/>
                <w:b/>
                <w:sz w:val="24"/>
              </w:rPr>
              <w:t xml:space="preserve"> – IRB riska darījumi</w:t>
            </w:r>
          </w:p>
          <w:p w14:paraId="0A7C504F" w14:textId="419B949D"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To aktīvu riska darījumu riska svērtā vērtība, kas ir tādi IRB riska darījumi ar daudzpusējām attīstības bankām un starptautiskām organizācijām, uz kuriem attiecas Regulas (ES) Nr. 575/2013 147. panta 3. punkta b) un c) apakšpunkts.</w:t>
            </w:r>
          </w:p>
          <w:p w14:paraId="4B60B3CB" w14:textId="76329F3C" w:rsidR="002509B1" w:rsidRPr="000B66BC" w:rsidRDefault="009C4E79" w:rsidP="000B66BC">
            <w:pPr>
              <w:pStyle w:val="BodyText1"/>
              <w:spacing w:after="240" w:line="240" w:lineRule="auto"/>
              <w:rPr>
                <w:rFonts w:ascii="Times New Roman" w:hAnsi="Times New Roman"/>
                <w:b/>
                <w:bCs/>
                <w:sz w:val="24"/>
                <w:szCs w:val="24"/>
              </w:rPr>
            </w:pPr>
            <w:r>
              <w:rPr>
                <w:rFonts w:ascii="Times New Roman" w:hAnsi="Times New Roman"/>
                <w:sz w:val="24"/>
              </w:rPr>
              <w:t>Iestādes šo vērtību norāda, atņemot IRB riska darījumus, kuros netiek pildītas saistības.</w:t>
            </w:r>
          </w:p>
        </w:tc>
      </w:tr>
      <w:tr w:rsidR="002A54FF" w:rsidRPr="00E75BB8" w14:paraId="231E48A1" w14:textId="77777777" w:rsidTr="000B66BC">
        <w:trPr>
          <w:trHeight w:val="71"/>
        </w:trPr>
        <w:tc>
          <w:tcPr>
            <w:tcW w:w="1559" w:type="dxa"/>
            <w:shd w:val="clear" w:color="auto" w:fill="FFFFFF"/>
          </w:tcPr>
          <w:p w14:paraId="0729DCCA" w14:textId="1813ABC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{0130;0010}</w:t>
            </w:r>
          </w:p>
        </w:tc>
        <w:tc>
          <w:tcPr>
            <w:tcW w:w="7406" w:type="dxa"/>
            <w:shd w:val="clear" w:color="auto" w:fill="FFFFFF"/>
          </w:tcPr>
          <w:p w14:paraId="03377C61" w14:textId="0F13B636"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 xml:space="preserve">PSS, kuras uzskata par valsti – Sviras rādītāja riska darījuma vērtība – </w:t>
            </w:r>
            <w:r>
              <w:rPr>
                <w:rFonts w:ascii="Times New Roman" w:hAnsi="Times New Roman"/>
                <w:b/>
                <w:i/>
                <w:iCs/>
                <w:sz w:val="24"/>
              </w:rPr>
              <w:t>SA</w:t>
            </w:r>
            <w:r>
              <w:rPr>
                <w:rFonts w:ascii="Times New Roman" w:hAnsi="Times New Roman"/>
                <w:b/>
                <w:sz w:val="24"/>
              </w:rPr>
              <w:t xml:space="preserve"> riska darījumi</w:t>
            </w:r>
          </w:p>
          <w:p w14:paraId="7D8203A3" w14:textId="08A1137F"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To aktīvu sviras rādītāja riska darījuma vērtība, kas ir tādi </w:t>
            </w:r>
            <w:r>
              <w:rPr>
                <w:rFonts w:ascii="Times New Roman" w:hAnsi="Times New Roman"/>
                <w:i/>
                <w:iCs/>
                <w:sz w:val="24"/>
              </w:rPr>
              <w:t>SA</w:t>
            </w:r>
            <w:r>
              <w:rPr>
                <w:rFonts w:ascii="Times New Roman" w:hAnsi="Times New Roman"/>
                <w:sz w:val="24"/>
              </w:rPr>
              <w:t xml:space="preserve"> riska darījumi ar publiskā sektora struktūrām, uz kuriem attiecas Regulas (ES) Nr. 575/2013116. panta 4. punkts.</w:t>
            </w:r>
          </w:p>
          <w:p w14:paraId="4AA47B62" w14:textId="393B657D" w:rsidR="002509B1" w:rsidRPr="000B66BC" w:rsidRDefault="00086A8A" w:rsidP="000B66BC">
            <w:pPr>
              <w:pStyle w:val="BodyText1"/>
              <w:spacing w:after="240" w:line="240" w:lineRule="auto"/>
              <w:rPr>
                <w:rFonts w:ascii="Times New Roman" w:hAnsi="Times New Roman"/>
                <w:b/>
                <w:bCs/>
                <w:sz w:val="24"/>
                <w:szCs w:val="24"/>
              </w:rPr>
            </w:pPr>
            <w:r>
              <w:rPr>
                <w:rFonts w:ascii="Times New Roman" w:hAnsi="Times New Roman"/>
                <w:sz w:val="24"/>
              </w:rPr>
              <w:t xml:space="preserve">Iestādes šo vērtību norāda, atņemot </w:t>
            </w:r>
            <w:r>
              <w:rPr>
                <w:rFonts w:ascii="Times New Roman" w:hAnsi="Times New Roman"/>
                <w:i/>
                <w:iCs/>
                <w:sz w:val="24"/>
              </w:rPr>
              <w:t>SA</w:t>
            </w:r>
            <w:r>
              <w:rPr>
                <w:rFonts w:ascii="Times New Roman" w:hAnsi="Times New Roman"/>
                <w:sz w:val="24"/>
              </w:rPr>
              <w:t xml:space="preserve"> riska darījumus, kuros netiek pildītas saistības.</w:t>
            </w:r>
          </w:p>
        </w:tc>
      </w:tr>
      <w:tr w:rsidR="002A54FF" w:rsidRPr="00E75BB8" w14:paraId="3CE3539B" w14:textId="77777777" w:rsidTr="000B66BC">
        <w:trPr>
          <w:trHeight w:val="71"/>
        </w:trPr>
        <w:tc>
          <w:tcPr>
            <w:tcW w:w="1559" w:type="dxa"/>
            <w:shd w:val="clear" w:color="auto" w:fill="FFFFFF"/>
          </w:tcPr>
          <w:p w14:paraId="5BD4FCC9" w14:textId="4A185F0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{0130;0020}</w:t>
            </w:r>
          </w:p>
        </w:tc>
        <w:tc>
          <w:tcPr>
            <w:tcW w:w="7406" w:type="dxa"/>
            <w:shd w:val="clear" w:color="auto" w:fill="FFFFFF"/>
          </w:tcPr>
          <w:p w14:paraId="3B63499B" w14:textId="36B14D4C"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PSS, kuras uzskata par valsti – Sviras rādītāja riska darījuma vērtība – IRB riska darījumi</w:t>
            </w:r>
          </w:p>
          <w:p w14:paraId="6B0B91A7" w14:textId="2675950D"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To aktīvu riska darījumu vērtības mērs, kas ir tādi IRB riska darījumi ar publiskā sektora struktūrām, uz kuriem attiecas Regulas (ES) Nr. 575/2013 147. panta 3. punkta a) apakšpunkts.</w:t>
            </w:r>
          </w:p>
          <w:p w14:paraId="359554CF" w14:textId="52EF4F24"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Iestādes šo vērtību norāda, atņemot IRB riska darījumus, kuros netiek pildītas saistības.</w:t>
            </w:r>
          </w:p>
        </w:tc>
      </w:tr>
      <w:tr w:rsidR="002A54FF" w:rsidRPr="00E75BB8" w14:paraId="66BBD644" w14:textId="77777777" w:rsidTr="000B66BC">
        <w:trPr>
          <w:trHeight w:val="71"/>
        </w:trPr>
        <w:tc>
          <w:tcPr>
            <w:tcW w:w="1559" w:type="dxa"/>
            <w:shd w:val="clear" w:color="auto" w:fill="FFFFFF"/>
          </w:tcPr>
          <w:p w14:paraId="780B22F1" w14:textId="38F1137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{0130;0030}</w:t>
            </w:r>
          </w:p>
        </w:tc>
        <w:tc>
          <w:tcPr>
            <w:tcW w:w="7406" w:type="dxa"/>
            <w:shd w:val="clear" w:color="auto" w:fill="FFFFFF"/>
          </w:tcPr>
          <w:p w14:paraId="1DD3711A" w14:textId="41BC0A58"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 xml:space="preserve">PSS, kuras uzskata par valsti – </w:t>
            </w:r>
            <w:r>
              <w:rPr>
                <w:rFonts w:ascii="Times New Roman" w:hAnsi="Times New Roman"/>
                <w:b/>
                <w:i/>
                <w:iCs/>
                <w:sz w:val="24"/>
              </w:rPr>
              <w:t>RWEA</w:t>
            </w:r>
            <w:r>
              <w:rPr>
                <w:rFonts w:ascii="Times New Roman" w:hAnsi="Times New Roman"/>
                <w:b/>
                <w:sz w:val="24"/>
              </w:rPr>
              <w:t xml:space="preserve"> – </w:t>
            </w:r>
            <w:r>
              <w:rPr>
                <w:rFonts w:ascii="Times New Roman" w:hAnsi="Times New Roman"/>
                <w:b/>
                <w:i/>
                <w:iCs/>
                <w:sz w:val="24"/>
              </w:rPr>
              <w:t>SA</w:t>
            </w:r>
            <w:r>
              <w:rPr>
                <w:rFonts w:ascii="Times New Roman" w:hAnsi="Times New Roman"/>
                <w:b/>
                <w:sz w:val="24"/>
              </w:rPr>
              <w:t xml:space="preserve"> riska darījumi</w:t>
            </w:r>
          </w:p>
          <w:p w14:paraId="53A6C1B8" w14:textId="07E3EA1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To aktīvu riska darījumu riska svērtā vērtība, kas ir </w:t>
            </w:r>
            <w:r>
              <w:rPr>
                <w:rFonts w:ascii="Times New Roman" w:hAnsi="Times New Roman"/>
                <w:i/>
                <w:iCs/>
                <w:sz w:val="24"/>
              </w:rPr>
              <w:t>SA</w:t>
            </w:r>
            <w:r>
              <w:rPr>
                <w:rFonts w:ascii="Times New Roman" w:hAnsi="Times New Roman"/>
                <w:sz w:val="24"/>
              </w:rPr>
              <w:t xml:space="preserve"> riska darījumi ar publiskā sektora struktūrām un uz kuriem attiecas Regulas (ES) Nr. 575/2013 116. panta 4. punkts.</w:t>
            </w:r>
          </w:p>
          <w:p w14:paraId="432B1470" w14:textId="36FFD5B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Iestādes šo vērtību norāda, atņemot </w:t>
            </w:r>
            <w:r>
              <w:rPr>
                <w:rFonts w:ascii="Times New Roman" w:hAnsi="Times New Roman"/>
                <w:i/>
                <w:iCs/>
                <w:sz w:val="24"/>
              </w:rPr>
              <w:t>SA</w:t>
            </w:r>
            <w:r>
              <w:rPr>
                <w:rFonts w:ascii="Times New Roman" w:hAnsi="Times New Roman"/>
                <w:sz w:val="24"/>
              </w:rPr>
              <w:t xml:space="preserve"> riska darījumus, kuros netiek pildītas saistības.</w:t>
            </w:r>
          </w:p>
        </w:tc>
      </w:tr>
      <w:tr w:rsidR="002A54FF" w:rsidRPr="00E75BB8" w14:paraId="6BE8DD32" w14:textId="77777777" w:rsidTr="000B66BC">
        <w:trPr>
          <w:trHeight w:val="71"/>
        </w:trPr>
        <w:tc>
          <w:tcPr>
            <w:tcW w:w="1559" w:type="dxa"/>
            <w:shd w:val="clear" w:color="auto" w:fill="FFFFFF"/>
          </w:tcPr>
          <w:p w14:paraId="4F17D6C7" w14:textId="60A1BB8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{0130;0040}</w:t>
            </w:r>
          </w:p>
        </w:tc>
        <w:tc>
          <w:tcPr>
            <w:tcW w:w="7406" w:type="dxa"/>
            <w:shd w:val="clear" w:color="auto" w:fill="FFFFFF"/>
          </w:tcPr>
          <w:p w14:paraId="60977598" w14:textId="37A519F1"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 xml:space="preserve">PSS, kuras uzskata par valsti – </w:t>
            </w:r>
            <w:r>
              <w:rPr>
                <w:rFonts w:ascii="Times New Roman" w:hAnsi="Times New Roman"/>
                <w:b/>
                <w:i/>
                <w:iCs/>
                <w:sz w:val="24"/>
              </w:rPr>
              <w:t>RWEA</w:t>
            </w:r>
            <w:r>
              <w:rPr>
                <w:rFonts w:ascii="Times New Roman" w:hAnsi="Times New Roman"/>
                <w:b/>
                <w:sz w:val="24"/>
              </w:rPr>
              <w:t xml:space="preserve"> – IRB riska darījumi</w:t>
            </w:r>
          </w:p>
          <w:p w14:paraId="0EAECD4A" w14:textId="4D9944EF"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To aktīvu riska darījumu riska svērtā vērtība, kas ir tādi IRB riska darījumi ar publiskā sektora struktūrām, uz kuriem attiecas Regulas (ES) Nr. 575/2013 147. panta 3. punkta a) apakšpunkts.</w:t>
            </w:r>
          </w:p>
          <w:p w14:paraId="05B42B2C" w14:textId="7B404A8B"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lastRenderedPageBreak/>
              <w:t>Iestādes šo vērtību norāda, atņemot IRB riska darījumus, kuros netiek pildītas saistības.</w:t>
            </w:r>
          </w:p>
        </w:tc>
      </w:tr>
      <w:tr w:rsidR="002A54FF" w:rsidRPr="00E75BB8" w14:paraId="35BDD4D3" w14:textId="77777777" w:rsidTr="000B66BC">
        <w:trPr>
          <w:trHeight w:val="71"/>
        </w:trPr>
        <w:tc>
          <w:tcPr>
            <w:tcW w:w="1559" w:type="dxa"/>
            <w:shd w:val="clear" w:color="auto" w:fill="FFFFFF"/>
          </w:tcPr>
          <w:p w14:paraId="5F7AB96E" w14:textId="4B2E707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{0140;0010}</w:t>
            </w:r>
          </w:p>
        </w:tc>
        <w:tc>
          <w:tcPr>
            <w:tcW w:w="7406" w:type="dxa"/>
            <w:shd w:val="clear" w:color="auto" w:fill="FFFFFF"/>
          </w:tcPr>
          <w:p w14:paraId="68676BE2" w14:textId="6C78BF9D"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Riska darījumi ar reģionālajām pašvaldībām, DAB, starptautiskām organizācijām un PSS, kuras neuzskata par valsti – Sviras rādītāja riska darījuma vērtība – </w:t>
            </w:r>
            <w:r>
              <w:rPr>
                <w:rFonts w:ascii="Times New Roman" w:hAnsi="Times New Roman"/>
                <w:b/>
                <w:i/>
                <w:iCs/>
                <w:sz w:val="24"/>
              </w:rPr>
              <w:t>SA</w:t>
            </w:r>
            <w:r>
              <w:rPr>
                <w:rFonts w:ascii="Times New Roman" w:hAnsi="Times New Roman"/>
                <w:b/>
                <w:sz w:val="24"/>
              </w:rPr>
              <w:t xml:space="preserve"> riska darījumi</w:t>
            </w:r>
          </w:p>
          <w:p w14:paraId="16F7D104" w14:textId="442558D1"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Tā ir {0150,0010} līdz {0170,0010} šūnu summa.</w:t>
            </w:r>
          </w:p>
          <w:p w14:paraId="56668309" w14:textId="21D6A0F4"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Iestādes šo vērtību norāda, atņemot </w:t>
            </w:r>
            <w:r>
              <w:rPr>
                <w:rFonts w:ascii="Times New Roman" w:hAnsi="Times New Roman"/>
                <w:i/>
                <w:iCs/>
                <w:sz w:val="24"/>
              </w:rPr>
              <w:t>SA</w:t>
            </w:r>
            <w:r>
              <w:rPr>
                <w:rFonts w:ascii="Times New Roman" w:hAnsi="Times New Roman"/>
                <w:sz w:val="24"/>
              </w:rPr>
              <w:t xml:space="preserve"> riska darījumus, kuros netiek pildītas saistības.</w:t>
            </w:r>
          </w:p>
        </w:tc>
      </w:tr>
      <w:tr w:rsidR="002A54FF" w:rsidRPr="00E75BB8" w14:paraId="2401556C" w14:textId="77777777" w:rsidTr="000B66BC">
        <w:trPr>
          <w:trHeight w:val="71"/>
        </w:trPr>
        <w:tc>
          <w:tcPr>
            <w:tcW w:w="1559" w:type="dxa"/>
            <w:shd w:val="clear" w:color="auto" w:fill="FFFFFF"/>
          </w:tcPr>
          <w:p w14:paraId="4E9A7359" w14:textId="71A72E6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{0140;0020}</w:t>
            </w:r>
          </w:p>
        </w:tc>
        <w:tc>
          <w:tcPr>
            <w:tcW w:w="7406" w:type="dxa"/>
            <w:shd w:val="clear" w:color="auto" w:fill="FFFFFF"/>
          </w:tcPr>
          <w:p w14:paraId="16480F3A"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Riska darījumi ar reģionālajām pašvaldībām, DAB, starptautiskām organizācijām un PSS, kuras neuzskata par valsti – Sviras rādītāja riska darījuma vērtība – IRB riska darījumi</w:t>
            </w:r>
          </w:p>
          <w:p w14:paraId="01EFE154" w14:textId="3715624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Tā ir {0150,0020} līdz {0170,0020} šūnu summa.</w:t>
            </w:r>
          </w:p>
          <w:p w14:paraId="4BA214B6" w14:textId="386C4F7E"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Iestādes šo vērtību norāda, atņemot IRB riska darījumus, kuros netiek pildītas saistības.</w:t>
            </w:r>
          </w:p>
        </w:tc>
      </w:tr>
      <w:tr w:rsidR="002A54FF" w:rsidRPr="00E75BB8" w14:paraId="32DCABED" w14:textId="77777777" w:rsidTr="000B66BC">
        <w:trPr>
          <w:trHeight w:val="71"/>
        </w:trPr>
        <w:tc>
          <w:tcPr>
            <w:tcW w:w="1559" w:type="dxa"/>
            <w:shd w:val="clear" w:color="auto" w:fill="FFFFFF"/>
          </w:tcPr>
          <w:p w14:paraId="6236D8C3" w14:textId="2D8D1C9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{0140;0030}</w:t>
            </w:r>
          </w:p>
        </w:tc>
        <w:tc>
          <w:tcPr>
            <w:tcW w:w="7406" w:type="dxa"/>
            <w:shd w:val="clear" w:color="auto" w:fill="FFFFFF"/>
          </w:tcPr>
          <w:p w14:paraId="6D26AA72" w14:textId="198DF37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Riska darījumi ar reģionālajām pašvaldībām, DAB, starptautiskām organizācijām un PSS, kuras neuzskata par valsti – </w:t>
            </w:r>
            <w:r>
              <w:rPr>
                <w:rFonts w:ascii="Times New Roman" w:hAnsi="Times New Roman"/>
                <w:b/>
                <w:i/>
                <w:iCs/>
                <w:sz w:val="24"/>
              </w:rPr>
              <w:t>RWEA</w:t>
            </w:r>
            <w:r>
              <w:rPr>
                <w:rFonts w:ascii="Times New Roman" w:hAnsi="Times New Roman"/>
                <w:b/>
                <w:sz w:val="24"/>
              </w:rPr>
              <w:t xml:space="preserve"> – </w:t>
            </w:r>
            <w:r>
              <w:rPr>
                <w:rFonts w:ascii="Times New Roman" w:hAnsi="Times New Roman"/>
                <w:b/>
                <w:i/>
                <w:iCs/>
                <w:sz w:val="24"/>
              </w:rPr>
              <w:t>SA</w:t>
            </w:r>
            <w:r>
              <w:rPr>
                <w:rFonts w:ascii="Times New Roman" w:hAnsi="Times New Roman"/>
                <w:b/>
                <w:sz w:val="24"/>
              </w:rPr>
              <w:t xml:space="preserve"> riska darījumi</w:t>
            </w:r>
          </w:p>
          <w:p w14:paraId="001A76CB" w14:textId="449CD51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Tā ir {0150,0030} līdz {0170,0030} šūnu summa.</w:t>
            </w:r>
          </w:p>
          <w:p w14:paraId="0666DA98" w14:textId="42DCAEA8"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Iestādes šo vērtību norāda, atņemot </w:t>
            </w:r>
            <w:r>
              <w:rPr>
                <w:rFonts w:ascii="Times New Roman" w:hAnsi="Times New Roman"/>
                <w:i/>
                <w:iCs/>
                <w:sz w:val="24"/>
              </w:rPr>
              <w:t>SA</w:t>
            </w:r>
            <w:r>
              <w:rPr>
                <w:rFonts w:ascii="Times New Roman" w:hAnsi="Times New Roman"/>
                <w:sz w:val="24"/>
              </w:rPr>
              <w:t xml:space="preserve"> riska darījumus, kuros netiek pildītas saistības.</w:t>
            </w:r>
          </w:p>
        </w:tc>
      </w:tr>
      <w:tr w:rsidR="002A54FF" w:rsidRPr="00E75BB8" w14:paraId="19788CFC" w14:textId="77777777" w:rsidTr="000B66BC">
        <w:trPr>
          <w:trHeight w:val="71"/>
        </w:trPr>
        <w:tc>
          <w:tcPr>
            <w:tcW w:w="1559" w:type="dxa"/>
            <w:shd w:val="clear" w:color="auto" w:fill="FFFFFF"/>
          </w:tcPr>
          <w:p w14:paraId="56BC83A9" w14:textId="067E360C"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{0140;0040}</w:t>
            </w:r>
          </w:p>
        </w:tc>
        <w:tc>
          <w:tcPr>
            <w:tcW w:w="7406" w:type="dxa"/>
            <w:shd w:val="clear" w:color="auto" w:fill="FFFFFF"/>
          </w:tcPr>
          <w:p w14:paraId="28502CF8" w14:textId="27254544"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Riska darījumi ar reģionālajām pašvaldībām, DAB, starptautiskām organizācijām un PSS, kuras neuzskata par valsti – </w:t>
            </w:r>
            <w:r>
              <w:rPr>
                <w:rFonts w:ascii="Times New Roman" w:hAnsi="Times New Roman"/>
                <w:b/>
                <w:i/>
                <w:iCs/>
                <w:sz w:val="24"/>
              </w:rPr>
              <w:t>RWEA</w:t>
            </w:r>
            <w:r>
              <w:rPr>
                <w:rFonts w:ascii="Times New Roman" w:hAnsi="Times New Roman"/>
                <w:b/>
                <w:sz w:val="24"/>
              </w:rPr>
              <w:t xml:space="preserve"> – IRB riska darījumi</w:t>
            </w:r>
          </w:p>
          <w:p w14:paraId="26D9E4F6" w14:textId="3F28B51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Tā ir {0150,0040} līdz {0170,0040} šūnu summa.</w:t>
            </w:r>
          </w:p>
          <w:p w14:paraId="6B0E2A45" w14:textId="73754F98"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Iestādes šo vērtību norāda, atņemot IRB riska darījumus, kuros netiek pildītas saistības.</w:t>
            </w:r>
          </w:p>
        </w:tc>
      </w:tr>
      <w:tr w:rsidR="002A54FF" w:rsidRPr="00E75BB8" w14:paraId="7FF2685B" w14:textId="77777777" w:rsidTr="000B66BC">
        <w:trPr>
          <w:trHeight w:val="71"/>
        </w:trPr>
        <w:tc>
          <w:tcPr>
            <w:tcW w:w="1559" w:type="dxa"/>
            <w:shd w:val="clear" w:color="auto" w:fill="FFFFFF"/>
          </w:tcPr>
          <w:p w14:paraId="40C55306" w14:textId="22F0579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{0150;0010}</w:t>
            </w:r>
          </w:p>
        </w:tc>
        <w:tc>
          <w:tcPr>
            <w:tcW w:w="7406" w:type="dxa"/>
            <w:shd w:val="clear" w:color="auto" w:fill="FFFFFF"/>
          </w:tcPr>
          <w:p w14:paraId="6E882A95" w14:textId="42A5BAAA"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Reģionālās pašvaldības un vietējās pašpārvaldes, kuras neuzskata par valsti – Sviras rādītāja riska darījuma vērtība– </w:t>
            </w:r>
            <w:r>
              <w:rPr>
                <w:rFonts w:ascii="Times New Roman" w:hAnsi="Times New Roman"/>
                <w:b/>
                <w:i/>
                <w:iCs/>
                <w:sz w:val="24"/>
              </w:rPr>
              <w:t>SA</w:t>
            </w:r>
            <w:r>
              <w:rPr>
                <w:rFonts w:ascii="Times New Roman" w:hAnsi="Times New Roman"/>
                <w:b/>
                <w:sz w:val="24"/>
              </w:rPr>
              <w:t xml:space="preserve"> riska darījumi</w:t>
            </w:r>
          </w:p>
          <w:p w14:paraId="5997608A" w14:textId="0BF65BF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To aktīvu sviras rādītāja riska darījuma vērtība, kas ir tādi</w:t>
            </w:r>
            <w:r>
              <w:rPr>
                <w:rFonts w:ascii="Times New Roman" w:hAnsi="Times New Roman"/>
                <w:i/>
                <w:iCs/>
                <w:sz w:val="24"/>
              </w:rPr>
              <w:t xml:space="preserve"> SA</w:t>
            </w:r>
            <w:r>
              <w:rPr>
                <w:rFonts w:ascii="Times New Roman" w:hAnsi="Times New Roman"/>
                <w:sz w:val="24"/>
              </w:rPr>
              <w:t xml:space="preserve"> riska darījumi ar reģionālajām pašvaldībām un vietējām pašpārvaldēm, kuras uzskata par valsti, uz kuriem attiecas Regulas (ES) Nr. 575/2013 115. panta 1., 3. un 5. punkts.</w:t>
            </w:r>
          </w:p>
          <w:p w14:paraId="2E409DCC" w14:textId="6CDA3B78"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 xml:space="preserve">Iestādes šo vērtību norāda, atņemot </w:t>
            </w:r>
            <w:r>
              <w:rPr>
                <w:rFonts w:ascii="Times New Roman" w:hAnsi="Times New Roman"/>
                <w:i/>
                <w:iCs/>
                <w:sz w:val="24"/>
              </w:rPr>
              <w:t>SA</w:t>
            </w:r>
            <w:r>
              <w:rPr>
                <w:rFonts w:ascii="Times New Roman" w:hAnsi="Times New Roman"/>
                <w:sz w:val="24"/>
              </w:rPr>
              <w:t xml:space="preserve"> riska darījumus, kuros netiek pildītas saistības.</w:t>
            </w:r>
          </w:p>
        </w:tc>
      </w:tr>
      <w:tr w:rsidR="002A54FF" w:rsidRPr="00E75BB8" w14:paraId="1422BA43" w14:textId="77777777" w:rsidTr="000B66BC">
        <w:trPr>
          <w:trHeight w:val="71"/>
        </w:trPr>
        <w:tc>
          <w:tcPr>
            <w:tcW w:w="1559" w:type="dxa"/>
            <w:shd w:val="clear" w:color="auto" w:fill="FFFFFF"/>
          </w:tcPr>
          <w:p w14:paraId="119A75AE" w14:textId="3BC5962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{0150;0020}</w:t>
            </w:r>
          </w:p>
        </w:tc>
        <w:tc>
          <w:tcPr>
            <w:tcW w:w="7406" w:type="dxa"/>
            <w:shd w:val="clear" w:color="auto" w:fill="FFFFFF"/>
          </w:tcPr>
          <w:p w14:paraId="6DA1492F" w14:textId="77777777"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Reģionālās pašvaldības un vietējās pašpārvaldes, kuras neuzskata par valsti – Sviras rādītāja riska darījuma vērtība – IRB riska darījumi</w:t>
            </w:r>
          </w:p>
          <w:p w14:paraId="05330C07" w14:textId="0532F617"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To aktīvu sviras rādītāja riska darījuma vērtība, kas ir tādi IRB riska darījumi ar reģionālajām pašvaldībām un vietējām pašpārvaldēm, kuras neuzskata par valsti, un uz kuriem attiecas Regulas (ES) Nr. 575/2013 147. panta 4. punkta a) apakšpunkts.</w:t>
            </w:r>
          </w:p>
          <w:p w14:paraId="64866D79" w14:textId="278A91F6" w:rsidR="00F4754B" w:rsidRPr="000B66BC" w:rsidDel="00F559E6"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Iestādes šo vērtību norāda, atņemot IRB riska darījumus, kuros netiek pildītas saistības. </w:t>
            </w:r>
          </w:p>
        </w:tc>
      </w:tr>
      <w:tr w:rsidR="002A54FF" w:rsidRPr="00E75BB8" w14:paraId="49B34BA3" w14:textId="77777777" w:rsidTr="000B66BC">
        <w:trPr>
          <w:trHeight w:val="71"/>
        </w:trPr>
        <w:tc>
          <w:tcPr>
            <w:tcW w:w="1559" w:type="dxa"/>
            <w:shd w:val="clear" w:color="auto" w:fill="FFFFFF"/>
          </w:tcPr>
          <w:p w14:paraId="1350671F" w14:textId="6CF3F1D2"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{0150;0030}</w:t>
            </w:r>
          </w:p>
        </w:tc>
        <w:tc>
          <w:tcPr>
            <w:tcW w:w="7406" w:type="dxa"/>
            <w:shd w:val="clear" w:color="auto" w:fill="FFFFFF"/>
          </w:tcPr>
          <w:p w14:paraId="0E90CE61" w14:textId="6590FBE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Reģionālās pašvaldības un vietējās pašpārvaldes, kuras neuzskata par valsti – </w:t>
            </w:r>
            <w:r>
              <w:rPr>
                <w:rFonts w:ascii="Times New Roman" w:hAnsi="Times New Roman"/>
                <w:b/>
                <w:i/>
                <w:iCs/>
                <w:sz w:val="24"/>
              </w:rPr>
              <w:t>RWEA</w:t>
            </w:r>
            <w:r>
              <w:rPr>
                <w:rFonts w:ascii="Times New Roman" w:hAnsi="Times New Roman"/>
                <w:b/>
                <w:sz w:val="24"/>
              </w:rPr>
              <w:t xml:space="preserve"> – </w:t>
            </w:r>
            <w:r>
              <w:rPr>
                <w:rFonts w:ascii="Times New Roman" w:hAnsi="Times New Roman"/>
                <w:b/>
                <w:i/>
                <w:iCs/>
                <w:sz w:val="24"/>
              </w:rPr>
              <w:t>SA</w:t>
            </w:r>
            <w:r>
              <w:rPr>
                <w:rFonts w:ascii="Times New Roman" w:hAnsi="Times New Roman"/>
                <w:b/>
                <w:sz w:val="24"/>
              </w:rPr>
              <w:t xml:space="preserve"> riska darījumi </w:t>
            </w:r>
          </w:p>
          <w:p w14:paraId="0C1281BF" w14:textId="0F177E4A"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To aktīvu riska darījumu riska svērtā vērtība, kas ir tādi </w:t>
            </w:r>
            <w:r>
              <w:rPr>
                <w:rFonts w:ascii="Times New Roman" w:hAnsi="Times New Roman"/>
                <w:i/>
                <w:iCs/>
                <w:sz w:val="24"/>
              </w:rPr>
              <w:t>SA</w:t>
            </w:r>
            <w:r>
              <w:rPr>
                <w:rFonts w:ascii="Times New Roman" w:hAnsi="Times New Roman"/>
                <w:sz w:val="24"/>
              </w:rPr>
              <w:t xml:space="preserve"> riska darījumi ar reģionālajām pašvaldībām un vietējām pašpārvaldēm, kuras neuzskata par valsti, uz kuriem attiecas Regulas (ES) Nr. 575/2013 115. panta 1., 3. un 5. punkts.</w:t>
            </w:r>
          </w:p>
          <w:p w14:paraId="594F13B1" w14:textId="615E6282"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Iestādes šo vērtību norāda, atņemot </w:t>
            </w:r>
            <w:r>
              <w:rPr>
                <w:rFonts w:ascii="Times New Roman" w:hAnsi="Times New Roman"/>
                <w:i/>
                <w:iCs/>
                <w:sz w:val="24"/>
              </w:rPr>
              <w:t>SA</w:t>
            </w:r>
            <w:r>
              <w:rPr>
                <w:rFonts w:ascii="Times New Roman" w:hAnsi="Times New Roman"/>
                <w:sz w:val="24"/>
              </w:rPr>
              <w:t xml:space="preserve"> riska darījumus, kuros netiek pildītas saistības.</w:t>
            </w:r>
          </w:p>
        </w:tc>
      </w:tr>
      <w:tr w:rsidR="002A54FF" w:rsidRPr="00E75BB8" w14:paraId="218100D8" w14:textId="77777777" w:rsidTr="000B66BC">
        <w:trPr>
          <w:trHeight w:val="71"/>
        </w:trPr>
        <w:tc>
          <w:tcPr>
            <w:tcW w:w="1559" w:type="dxa"/>
            <w:shd w:val="clear" w:color="auto" w:fill="FFFFFF"/>
          </w:tcPr>
          <w:p w14:paraId="7E6979FD" w14:textId="4EA4998C"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{0150;0040}</w:t>
            </w:r>
          </w:p>
        </w:tc>
        <w:tc>
          <w:tcPr>
            <w:tcW w:w="7406" w:type="dxa"/>
            <w:shd w:val="clear" w:color="auto" w:fill="FFFFFF"/>
          </w:tcPr>
          <w:p w14:paraId="2F79CD95" w14:textId="1BA3728B"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Reģionālās pašvaldības un vietējās pašpārvaldes, kuras neuzskata par valsti – </w:t>
            </w:r>
            <w:r>
              <w:rPr>
                <w:rFonts w:ascii="Times New Roman" w:hAnsi="Times New Roman"/>
                <w:b/>
                <w:i/>
                <w:iCs/>
                <w:sz w:val="24"/>
              </w:rPr>
              <w:t>RWEA</w:t>
            </w:r>
            <w:r>
              <w:rPr>
                <w:rFonts w:ascii="Times New Roman" w:hAnsi="Times New Roman"/>
                <w:b/>
                <w:sz w:val="24"/>
              </w:rPr>
              <w:t xml:space="preserve"> – IRB riska darījumi</w:t>
            </w:r>
          </w:p>
          <w:p w14:paraId="51863919" w14:textId="13549DA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To aktīvu riska darījuma riska svērtā vērtība, kas ir tādi IRB riska darījumi ar reģionālajām pašvaldībām un vietējām pašpārvaldēm, kuras neuzskata par valsti, uz kuriem attiecas Regulas (ES) Nr. 575/2013 147. panta 4. punkta a) apakšpunkts.</w:t>
            </w:r>
          </w:p>
          <w:p w14:paraId="2CE67E1E" w14:textId="02F8044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Iestādes šo vērtību norāda, atņemot IRB riska darījumus, kuros netiek pildītas saistības.</w:t>
            </w:r>
          </w:p>
        </w:tc>
      </w:tr>
      <w:tr w:rsidR="002A54FF" w:rsidRPr="00E75BB8" w14:paraId="237E8E2D" w14:textId="77777777" w:rsidTr="000B66BC">
        <w:trPr>
          <w:trHeight w:val="71"/>
        </w:trPr>
        <w:tc>
          <w:tcPr>
            <w:tcW w:w="1559" w:type="dxa"/>
            <w:shd w:val="clear" w:color="auto" w:fill="FFFFFF"/>
          </w:tcPr>
          <w:p w14:paraId="6D0A1DEE" w14:textId="580C324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{0160;0010}</w:t>
            </w:r>
          </w:p>
        </w:tc>
        <w:tc>
          <w:tcPr>
            <w:tcW w:w="7406" w:type="dxa"/>
            <w:shd w:val="clear" w:color="auto" w:fill="FFFFFF"/>
          </w:tcPr>
          <w:p w14:paraId="382B2DE5"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DAB, kuras neuzskata par valsti – Riska darījumu vērtības mērs – </w:t>
            </w:r>
            <w:r>
              <w:rPr>
                <w:rFonts w:ascii="Times New Roman" w:hAnsi="Times New Roman"/>
                <w:b/>
                <w:i/>
                <w:iCs/>
                <w:sz w:val="24"/>
              </w:rPr>
              <w:t>SA</w:t>
            </w:r>
            <w:r>
              <w:rPr>
                <w:rFonts w:ascii="Times New Roman" w:hAnsi="Times New Roman"/>
                <w:b/>
                <w:sz w:val="24"/>
              </w:rPr>
              <w:t xml:space="preserve"> riska darījumi</w:t>
            </w:r>
          </w:p>
          <w:p w14:paraId="07928584" w14:textId="302FB434"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To aktīvu riska darījumu vērtības mērs, kas ir tādi SA riska darījumi ar daudzpusējām attīstības bankām, uz kuriem attiecas Regulas (ES) Nr. 575/2013 117. panta 1. un 3. punkts.</w:t>
            </w:r>
          </w:p>
          <w:p w14:paraId="01E4041D" w14:textId="00B0727A"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 xml:space="preserve">Iestādes šo vērtību norāda, atņemot </w:t>
            </w:r>
            <w:r>
              <w:rPr>
                <w:rFonts w:ascii="Times New Roman" w:hAnsi="Times New Roman"/>
                <w:i/>
                <w:iCs/>
                <w:sz w:val="24"/>
              </w:rPr>
              <w:t>SA</w:t>
            </w:r>
            <w:r>
              <w:rPr>
                <w:rFonts w:ascii="Times New Roman" w:hAnsi="Times New Roman"/>
                <w:sz w:val="24"/>
              </w:rPr>
              <w:t xml:space="preserve"> riska darījumus, kuros netiek pildītas saistības.</w:t>
            </w:r>
          </w:p>
        </w:tc>
      </w:tr>
      <w:tr w:rsidR="002A54FF" w:rsidRPr="00E75BB8" w14:paraId="62B19F9C" w14:textId="77777777" w:rsidTr="000B66BC">
        <w:trPr>
          <w:trHeight w:val="71"/>
        </w:trPr>
        <w:tc>
          <w:tcPr>
            <w:tcW w:w="1559" w:type="dxa"/>
            <w:shd w:val="clear" w:color="auto" w:fill="FFFFFF"/>
          </w:tcPr>
          <w:p w14:paraId="49210C52" w14:textId="06EBFC79"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{0160;0020}</w:t>
            </w:r>
          </w:p>
        </w:tc>
        <w:tc>
          <w:tcPr>
            <w:tcW w:w="7406" w:type="dxa"/>
            <w:shd w:val="clear" w:color="auto" w:fill="FFFFFF"/>
          </w:tcPr>
          <w:p w14:paraId="13E28A92"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DAB, kuras neuzskata par valsti – Sviras rādītāja riska darījuma vērtība– IRB riska darījumi</w:t>
            </w:r>
          </w:p>
          <w:p w14:paraId="6D2C0352" w14:textId="312107C2"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To aktīvu sviras rādītāja riska darījumu vērtība, kas ir tādi IRB riska darījumi ar daudzpusējām attīstības bankām, kuras neuzskata par valsti, uz kuriem attiecas Regulas (ES) Nr. 575/2013 147. panta 4. punkta c) apakšpunkts.</w:t>
            </w:r>
          </w:p>
          <w:p w14:paraId="74CFCB27" w14:textId="063441C0" w:rsidR="009C4E79" w:rsidRPr="000B66BC" w:rsidDel="009A4B38"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lastRenderedPageBreak/>
              <w:t>Iestādes šo vērtību norāda, atņemot IRB riska darījumus, kuros netiek pildītas saistības.</w:t>
            </w:r>
          </w:p>
        </w:tc>
      </w:tr>
      <w:tr w:rsidR="002A54FF" w:rsidRPr="00E75BB8" w14:paraId="3B7489DB" w14:textId="77777777" w:rsidTr="000B66BC">
        <w:trPr>
          <w:trHeight w:val="71"/>
        </w:trPr>
        <w:tc>
          <w:tcPr>
            <w:tcW w:w="1559" w:type="dxa"/>
            <w:shd w:val="clear" w:color="auto" w:fill="FFFFFF"/>
          </w:tcPr>
          <w:p w14:paraId="53451B08" w14:textId="0717E11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{0160;0030}</w:t>
            </w:r>
          </w:p>
        </w:tc>
        <w:tc>
          <w:tcPr>
            <w:tcW w:w="7406" w:type="dxa"/>
            <w:shd w:val="clear" w:color="auto" w:fill="FFFFFF"/>
          </w:tcPr>
          <w:p w14:paraId="1D2AE94F" w14:textId="3A23504D"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DAB, kuras neuzskata par valsti – </w:t>
            </w:r>
            <w:r>
              <w:rPr>
                <w:rFonts w:ascii="Times New Roman" w:hAnsi="Times New Roman"/>
                <w:b/>
                <w:i/>
                <w:iCs/>
                <w:sz w:val="24"/>
              </w:rPr>
              <w:t>RWEA</w:t>
            </w:r>
            <w:r>
              <w:rPr>
                <w:rFonts w:ascii="Times New Roman" w:hAnsi="Times New Roman"/>
                <w:b/>
                <w:sz w:val="24"/>
              </w:rPr>
              <w:t xml:space="preserve"> –</w:t>
            </w:r>
            <w:r>
              <w:rPr>
                <w:rFonts w:ascii="Times New Roman" w:hAnsi="Times New Roman"/>
                <w:b/>
                <w:i/>
                <w:iCs/>
                <w:sz w:val="24"/>
              </w:rPr>
              <w:t xml:space="preserve"> SA</w:t>
            </w:r>
            <w:r>
              <w:rPr>
                <w:rFonts w:ascii="Times New Roman" w:hAnsi="Times New Roman"/>
                <w:b/>
                <w:sz w:val="24"/>
              </w:rPr>
              <w:t xml:space="preserve"> riska darījumi</w:t>
            </w:r>
          </w:p>
          <w:p w14:paraId="4B127308" w14:textId="5B336149"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To aktīvu riska darījumu riska svērtā vērtība, kas ir tādi </w:t>
            </w:r>
            <w:r>
              <w:rPr>
                <w:rFonts w:ascii="Times New Roman" w:hAnsi="Times New Roman"/>
                <w:i/>
                <w:iCs/>
                <w:sz w:val="24"/>
              </w:rPr>
              <w:t>SA</w:t>
            </w:r>
            <w:r>
              <w:rPr>
                <w:rFonts w:ascii="Times New Roman" w:hAnsi="Times New Roman"/>
                <w:sz w:val="24"/>
              </w:rPr>
              <w:t xml:space="preserve"> riska darījumi ar daudzpusējām attīstības bankām, uz kuriem attiecas Regulas (ES) Nr. 575/2013 117. panta 1. un 3. punkts.</w:t>
            </w:r>
          </w:p>
          <w:p w14:paraId="6288F6E5" w14:textId="481F4915"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Iestādes šo vērtību norāda, atņemot </w:t>
            </w:r>
            <w:r>
              <w:rPr>
                <w:rFonts w:ascii="Times New Roman" w:hAnsi="Times New Roman"/>
                <w:i/>
                <w:iCs/>
                <w:sz w:val="24"/>
              </w:rPr>
              <w:t>SA</w:t>
            </w:r>
            <w:r>
              <w:rPr>
                <w:rFonts w:ascii="Times New Roman" w:hAnsi="Times New Roman"/>
                <w:sz w:val="24"/>
              </w:rPr>
              <w:t xml:space="preserve"> riska darījumus, kuros netiek pildītas saistības.</w:t>
            </w:r>
          </w:p>
        </w:tc>
      </w:tr>
      <w:tr w:rsidR="002A54FF" w:rsidRPr="00E75BB8" w14:paraId="44D6EB6F" w14:textId="77777777" w:rsidTr="000B66BC">
        <w:trPr>
          <w:trHeight w:val="71"/>
        </w:trPr>
        <w:tc>
          <w:tcPr>
            <w:tcW w:w="1559" w:type="dxa"/>
            <w:shd w:val="clear" w:color="auto" w:fill="FFFFFF"/>
          </w:tcPr>
          <w:p w14:paraId="00D96829" w14:textId="555FD61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{0160;0040}</w:t>
            </w:r>
          </w:p>
        </w:tc>
        <w:tc>
          <w:tcPr>
            <w:tcW w:w="7406" w:type="dxa"/>
            <w:shd w:val="clear" w:color="auto" w:fill="FFFFFF"/>
          </w:tcPr>
          <w:p w14:paraId="00619AFE" w14:textId="73438BF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DAB, kuras neuzskata par valsti – </w:t>
            </w:r>
            <w:r>
              <w:rPr>
                <w:rFonts w:ascii="Times New Roman" w:hAnsi="Times New Roman"/>
                <w:b/>
                <w:i/>
                <w:iCs/>
                <w:sz w:val="24"/>
              </w:rPr>
              <w:t>RWEA</w:t>
            </w:r>
            <w:r>
              <w:rPr>
                <w:rFonts w:ascii="Times New Roman" w:hAnsi="Times New Roman"/>
                <w:b/>
                <w:sz w:val="24"/>
              </w:rPr>
              <w:t xml:space="preserve"> – IRB riska darījumi</w:t>
            </w:r>
          </w:p>
          <w:p w14:paraId="466ECD88" w14:textId="5D28161E"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To aktīvu riska darījumu riska svērtā vērtība, kas ir tādi IRB riska darījumi ar daudzpusējām attīstības bankām, kuras neuzskata par valsti, uz kuriem attiecas Regulas (ES) Nr. 575/2013 147. panta 4. punkta c) apakšpunkts.</w:t>
            </w:r>
          </w:p>
          <w:p w14:paraId="72DDDF92" w14:textId="6FAD844E"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Iestādes šo vērtību norāda, atņemot IRB riska darījumus, kuros netiek pildītas saistības.</w:t>
            </w:r>
          </w:p>
        </w:tc>
      </w:tr>
      <w:tr w:rsidR="002A54FF" w:rsidRPr="00E75BB8" w14:paraId="533E38AC" w14:textId="77777777" w:rsidTr="000B66BC">
        <w:trPr>
          <w:trHeight w:val="71"/>
        </w:trPr>
        <w:tc>
          <w:tcPr>
            <w:tcW w:w="1559" w:type="dxa"/>
            <w:shd w:val="clear" w:color="auto" w:fill="FFFFFF"/>
          </w:tcPr>
          <w:p w14:paraId="0412E3DC" w14:textId="71F1E57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{0170;0010}</w:t>
            </w:r>
          </w:p>
        </w:tc>
        <w:tc>
          <w:tcPr>
            <w:tcW w:w="7406" w:type="dxa"/>
            <w:shd w:val="clear" w:color="auto" w:fill="FFFFFF"/>
          </w:tcPr>
          <w:p w14:paraId="63BC1CED"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PSS, kuras neuzskata par valsti – Sviras rādītāja riska darījuma vērtība – </w:t>
            </w:r>
            <w:r>
              <w:rPr>
                <w:rFonts w:ascii="Times New Roman" w:hAnsi="Times New Roman"/>
                <w:b/>
                <w:i/>
                <w:iCs/>
                <w:sz w:val="24"/>
              </w:rPr>
              <w:t>SA</w:t>
            </w:r>
            <w:r>
              <w:rPr>
                <w:rFonts w:ascii="Times New Roman" w:hAnsi="Times New Roman"/>
                <w:b/>
                <w:sz w:val="24"/>
              </w:rPr>
              <w:t xml:space="preserve"> riska darījumi</w:t>
            </w:r>
          </w:p>
          <w:p w14:paraId="3FF6AAF1" w14:textId="65E56C9D"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To aktīvu sviras rādītāja riska darījuma vērtība, kas ir tādi SA riska darījumi ar publiskā sektora struktūrām, uz kuriem attiecas Regulas (ES) Nr. 575/2013 116. panta 1., 2., 3. un 5. punkts.</w:t>
            </w:r>
          </w:p>
          <w:p w14:paraId="7DF5A169" w14:textId="79FB274E" w:rsidR="000A486B" w:rsidRPr="000B66BC" w:rsidRDefault="00086A8A" w:rsidP="000B66BC">
            <w:pPr>
              <w:pStyle w:val="BodyText1"/>
              <w:spacing w:after="240" w:line="240" w:lineRule="auto"/>
              <w:rPr>
                <w:rFonts w:ascii="Times New Roman" w:hAnsi="Times New Roman"/>
                <w:sz w:val="24"/>
                <w:szCs w:val="24"/>
              </w:rPr>
            </w:pPr>
            <w:r>
              <w:rPr>
                <w:rFonts w:ascii="Times New Roman" w:hAnsi="Times New Roman"/>
                <w:sz w:val="24"/>
              </w:rPr>
              <w:t xml:space="preserve">Iestādes šo vērtību norāda, atņemot </w:t>
            </w:r>
            <w:r>
              <w:rPr>
                <w:rFonts w:ascii="Times New Roman" w:hAnsi="Times New Roman"/>
                <w:i/>
                <w:iCs/>
                <w:sz w:val="24"/>
              </w:rPr>
              <w:t>SA</w:t>
            </w:r>
            <w:r>
              <w:rPr>
                <w:rFonts w:ascii="Times New Roman" w:hAnsi="Times New Roman"/>
                <w:sz w:val="24"/>
              </w:rPr>
              <w:t xml:space="preserve"> riska darījumus, kuros netiek pildītas saistības.</w:t>
            </w:r>
          </w:p>
        </w:tc>
      </w:tr>
      <w:tr w:rsidR="002A54FF" w:rsidRPr="00E75BB8" w14:paraId="3A5C3310" w14:textId="77777777" w:rsidTr="000B66BC">
        <w:trPr>
          <w:trHeight w:val="71"/>
        </w:trPr>
        <w:tc>
          <w:tcPr>
            <w:tcW w:w="1559" w:type="dxa"/>
            <w:shd w:val="clear" w:color="auto" w:fill="FFFFFF"/>
          </w:tcPr>
          <w:p w14:paraId="1510FE52" w14:textId="0733B660"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{0170;0020}</w:t>
            </w:r>
          </w:p>
        </w:tc>
        <w:tc>
          <w:tcPr>
            <w:tcW w:w="7406" w:type="dxa"/>
            <w:shd w:val="clear" w:color="auto" w:fill="FFFFFF"/>
          </w:tcPr>
          <w:p w14:paraId="426AE44C" w14:textId="331FC92F"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PSS, kuras neuzskata par valsti – Sviras rādītāja riska darījuma vērtība – IRB riska darījumi</w:t>
            </w:r>
          </w:p>
          <w:p w14:paraId="19C4FD72" w14:textId="2D84BC92"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To aktīvu sviras rādītāja riska darījuma vērtība, kas ir tādi IRB riska darījumi ar publiskā sektora struktūrām, kuras neuzskata par valsti, uz kuriem attiecas Regulas (ES) Nr. 575/2013 147. panta 4. punkta c) apakšpunkts.</w:t>
            </w:r>
          </w:p>
          <w:p w14:paraId="21D9C4B6" w14:textId="738536C0" w:rsidR="009C4E79" w:rsidRPr="000B66BC" w:rsidDel="00973F19"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Iestādes šo vērtību norāda, atņemot IRB riska darījumus, kuros netiek pildītas saistības.</w:t>
            </w:r>
          </w:p>
        </w:tc>
      </w:tr>
      <w:tr w:rsidR="002A54FF" w:rsidRPr="00E75BB8" w14:paraId="1BE427F7" w14:textId="77777777" w:rsidTr="000B66BC">
        <w:trPr>
          <w:trHeight w:val="71"/>
        </w:trPr>
        <w:tc>
          <w:tcPr>
            <w:tcW w:w="1559" w:type="dxa"/>
            <w:shd w:val="clear" w:color="auto" w:fill="FFFFFF"/>
          </w:tcPr>
          <w:p w14:paraId="7E1FC872" w14:textId="1CF85BB7"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{0170;0030}</w:t>
            </w:r>
          </w:p>
        </w:tc>
        <w:tc>
          <w:tcPr>
            <w:tcW w:w="7406" w:type="dxa"/>
            <w:shd w:val="clear" w:color="auto" w:fill="FFFFFF"/>
          </w:tcPr>
          <w:p w14:paraId="2459C33D" w14:textId="7EE3423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PSS, kuras neuzskata par valsti – </w:t>
            </w:r>
            <w:r>
              <w:rPr>
                <w:rFonts w:ascii="Times New Roman" w:hAnsi="Times New Roman"/>
                <w:b/>
                <w:i/>
                <w:iCs/>
                <w:sz w:val="24"/>
              </w:rPr>
              <w:t>RWEA</w:t>
            </w:r>
            <w:r>
              <w:rPr>
                <w:rFonts w:ascii="Times New Roman" w:hAnsi="Times New Roman"/>
                <w:b/>
                <w:sz w:val="24"/>
              </w:rPr>
              <w:t xml:space="preserve"> – </w:t>
            </w:r>
            <w:r>
              <w:rPr>
                <w:rFonts w:ascii="Times New Roman" w:hAnsi="Times New Roman"/>
                <w:b/>
                <w:i/>
                <w:iCs/>
                <w:sz w:val="24"/>
              </w:rPr>
              <w:t>SA</w:t>
            </w:r>
            <w:r>
              <w:rPr>
                <w:rFonts w:ascii="Times New Roman" w:hAnsi="Times New Roman"/>
                <w:b/>
                <w:sz w:val="24"/>
              </w:rPr>
              <w:t xml:space="preserve"> riska darījumi</w:t>
            </w:r>
          </w:p>
          <w:p w14:paraId="7ED0D977" w14:textId="5842F85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To aktīvu riska darījumu riska svērtā vērtība, kas ir tādi </w:t>
            </w:r>
            <w:r>
              <w:rPr>
                <w:rFonts w:ascii="Times New Roman" w:hAnsi="Times New Roman"/>
                <w:i/>
                <w:iCs/>
                <w:sz w:val="24"/>
              </w:rPr>
              <w:t>SA</w:t>
            </w:r>
            <w:r>
              <w:rPr>
                <w:rFonts w:ascii="Times New Roman" w:hAnsi="Times New Roman"/>
                <w:sz w:val="24"/>
              </w:rPr>
              <w:t xml:space="preserve"> riska darījumi ar publiskā sektora struktūrām, uz kuriem attiecas Regulas (ES) Nr. 575/2013 116. panta 1., 2., 3. un 5. punkts.</w:t>
            </w:r>
          </w:p>
          <w:p w14:paraId="2E4EB0DF" w14:textId="03959371"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Iestādes šo vērtību norāda, atņemot </w:t>
            </w:r>
            <w:r>
              <w:rPr>
                <w:rFonts w:ascii="Times New Roman" w:hAnsi="Times New Roman"/>
                <w:i/>
                <w:iCs/>
                <w:sz w:val="24"/>
              </w:rPr>
              <w:t>SA</w:t>
            </w:r>
            <w:r>
              <w:rPr>
                <w:rFonts w:ascii="Times New Roman" w:hAnsi="Times New Roman"/>
                <w:sz w:val="24"/>
              </w:rPr>
              <w:t xml:space="preserve"> riska darījumus, kuros netiek pildītas saistības.</w:t>
            </w:r>
          </w:p>
        </w:tc>
      </w:tr>
      <w:tr w:rsidR="002A54FF" w:rsidRPr="00E75BB8" w14:paraId="6C878C4C" w14:textId="77777777" w:rsidTr="000B66BC">
        <w:trPr>
          <w:trHeight w:val="71"/>
        </w:trPr>
        <w:tc>
          <w:tcPr>
            <w:tcW w:w="1559" w:type="dxa"/>
            <w:shd w:val="clear" w:color="auto" w:fill="FFFFFF"/>
          </w:tcPr>
          <w:p w14:paraId="1ADDF71D" w14:textId="4FD509A0"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{0170;0040}</w:t>
            </w:r>
          </w:p>
        </w:tc>
        <w:tc>
          <w:tcPr>
            <w:tcW w:w="7406" w:type="dxa"/>
            <w:shd w:val="clear" w:color="auto" w:fill="FFFFFF"/>
          </w:tcPr>
          <w:p w14:paraId="505DD8D8" w14:textId="3ADF1093"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PSS, kuras neuzskata par valsti – </w:t>
            </w:r>
            <w:r>
              <w:rPr>
                <w:rFonts w:ascii="Times New Roman" w:hAnsi="Times New Roman"/>
                <w:b/>
                <w:i/>
                <w:iCs/>
                <w:sz w:val="24"/>
              </w:rPr>
              <w:t>RWEA</w:t>
            </w:r>
            <w:r>
              <w:rPr>
                <w:rFonts w:ascii="Times New Roman" w:hAnsi="Times New Roman"/>
                <w:b/>
                <w:sz w:val="24"/>
              </w:rPr>
              <w:t xml:space="preserve"> – IRB riska darījumi</w:t>
            </w:r>
          </w:p>
          <w:p w14:paraId="3B167735" w14:textId="1C3E108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To aktīvu riska darījumu riska svērtā vērtība, kas ir tādi IRB riska darījumi ar publiskā sektora struktūrām, kuras neuzskata par valsti, uz kuriem attiecas Regulas (ES) Nr. 575/2013 147. panta 4. punkta b) apakšpunkts.</w:t>
            </w:r>
          </w:p>
          <w:p w14:paraId="786F9A83" w14:textId="4738A29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Iestādes šo vērtību norāda, atņemot IRB riska darījumus, kuros netiek pildītas saistības.</w:t>
            </w:r>
          </w:p>
        </w:tc>
      </w:tr>
      <w:tr w:rsidR="002A54FF" w:rsidRPr="00E75BB8" w14:paraId="4C6FA863" w14:textId="77777777" w:rsidTr="000B66BC">
        <w:trPr>
          <w:trHeight w:val="71"/>
        </w:trPr>
        <w:tc>
          <w:tcPr>
            <w:tcW w:w="1559" w:type="dxa"/>
            <w:shd w:val="clear" w:color="auto" w:fill="FFFFFF"/>
          </w:tcPr>
          <w:p w14:paraId="271E316D" w14:textId="22F0A69D"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{0180;0010}</w:t>
            </w:r>
          </w:p>
        </w:tc>
        <w:tc>
          <w:tcPr>
            <w:tcW w:w="7406" w:type="dxa"/>
            <w:shd w:val="clear" w:color="auto" w:fill="FFFFFF"/>
          </w:tcPr>
          <w:p w14:paraId="4C5AF924"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 xml:space="preserve">Iestādes – Sviras rādītāja riska darījuma vērtība – </w:t>
            </w:r>
            <w:r>
              <w:rPr>
                <w:rFonts w:ascii="Times New Roman" w:hAnsi="Times New Roman"/>
                <w:b/>
                <w:i/>
                <w:iCs/>
                <w:sz w:val="24"/>
              </w:rPr>
              <w:t>SA</w:t>
            </w:r>
            <w:r>
              <w:rPr>
                <w:rFonts w:ascii="Times New Roman" w:hAnsi="Times New Roman"/>
                <w:b/>
                <w:sz w:val="24"/>
              </w:rPr>
              <w:t xml:space="preserve"> riska darījumi</w:t>
            </w:r>
          </w:p>
          <w:p w14:paraId="285DE0DE" w14:textId="140BD1C0"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To aktīvu sviras rādītāja riska darījuma vērtība, kas ir tādi </w:t>
            </w:r>
            <w:r>
              <w:rPr>
                <w:rFonts w:ascii="Times New Roman" w:hAnsi="Times New Roman"/>
                <w:i/>
                <w:iCs/>
                <w:sz w:val="24"/>
              </w:rPr>
              <w:t>SA</w:t>
            </w:r>
            <w:r>
              <w:rPr>
                <w:rFonts w:ascii="Times New Roman" w:hAnsi="Times New Roman"/>
                <w:sz w:val="24"/>
              </w:rPr>
              <w:t xml:space="preserve"> riska darījumi ar iestādēm, uz kuriem attiecas Regulas (ES) Nr. 575/2013 119.-121. pants.</w:t>
            </w:r>
          </w:p>
          <w:p w14:paraId="718668CE" w14:textId="4B228AF6"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 xml:space="preserve">Iestādes šo vērtību norāda, atņemot </w:t>
            </w:r>
            <w:r>
              <w:rPr>
                <w:rFonts w:ascii="Times New Roman" w:hAnsi="Times New Roman"/>
                <w:i/>
                <w:iCs/>
                <w:sz w:val="24"/>
              </w:rPr>
              <w:t>SA</w:t>
            </w:r>
            <w:r>
              <w:rPr>
                <w:rFonts w:ascii="Times New Roman" w:hAnsi="Times New Roman"/>
                <w:sz w:val="24"/>
              </w:rPr>
              <w:t xml:space="preserve"> riska darījumus, kuros netiek pildītas saistības.</w:t>
            </w:r>
          </w:p>
        </w:tc>
      </w:tr>
      <w:tr w:rsidR="002A54FF" w:rsidRPr="00E75BB8" w14:paraId="7F4516FE" w14:textId="77777777" w:rsidTr="000B66BC">
        <w:trPr>
          <w:trHeight w:val="71"/>
        </w:trPr>
        <w:tc>
          <w:tcPr>
            <w:tcW w:w="1559" w:type="dxa"/>
            <w:shd w:val="clear" w:color="auto" w:fill="FFFFFF"/>
          </w:tcPr>
          <w:p w14:paraId="729BBA0D" w14:textId="3387B1D2"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{0180;0020}</w:t>
            </w:r>
          </w:p>
        </w:tc>
        <w:tc>
          <w:tcPr>
            <w:tcW w:w="7406" w:type="dxa"/>
            <w:shd w:val="clear" w:color="auto" w:fill="FFFFFF"/>
          </w:tcPr>
          <w:p w14:paraId="5B3D67A0"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Iestādes – Sviras rādītāja riska darījuma vērtība – IRB riska darījumi</w:t>
            </w:r>
          </w:p>
          <w:p w14:paraId="50027CF2" w14:textId="5920E641"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To aktīvu sviras rādītāja riska darījuma vērtība, kas ir IRB riska darījumi ar iestādēm, uz kuriem attiecas Regulas (ES) Nr. 575/2013 147. panta 2. punkta b) apakšpunkts, un kas nav riska darījumi segto obligāciju veidā saskaņā ar Regulas (ES) Nr. 575/2013 161. panta 1. punkta d) apakšpunktu un uz kuriem neattiecas Regulas (ES) Nr. 575/2013 147. panta 4. punkta c) apakšpunkts.</w:t>
            </w:r>
          </w:p>
          <w:p w14:paraId="74D3DFFE" w14:textId="50B07F0A"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Iestādes šo vērtību norāda, atņemot IRB riska darījumus, kuros netiek pildītas saistības.</w:t>
            </w:r>
          </w:p>
        </w:tc>
      </w:tr>
      <w:tr w:rsidR="002A54FF" w:rsidRPr="00E75BB8" w14:paraId="63DBCD42" w14:textId="77777777" w:rsidTr="000B66BC">
        <w:trPr>
          <w:trHeight w:val="71"/>
        </w:trPr>
        <w:tc>
          <w:tcPr>
            <w:tcW w:w="1559" w:type="dxa"/>
            <w:shd w:val="clear" w:color="auto" w:fill="FFFFFF"/>
          </w:tcPr>
          <w:p w14:paraId="18901B11" w14:textId="0DF0567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{0180;0030}</w:t>
            </w:r>
          </w:p>
        </w:tc>
        <w:tc>
          <w:tcPr>
            <w:tcW w:w="7406" w:type="dxa"/>
            <w:shd w:val="clear" w:color="auto" w:fill="FFFFFF"/>
          </w:tcPr>
          <w:p w14:paraId="6B6B1A57" w14:textId="58330F91"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Iestādes – </w:t>
            </w:r>
            <w:r>
              <w:rPr>
                <w:rFonts w:ascii="Times New Roman" w:hAnsi="Times New Roman"/>
                <w:b/>
                <w:i/>
                <w:iCs/>
                <w:sz w:val="24"/>
              </w:rPr>
              <w:t>RWEA</w:t>
            </w:r>
            <w:r>
              <w:rPr>
                <w:rFonts w:ascii="Times New Roman" w:hAnsi="Times New Roman"/>
                <w:b/>
                <w:sz w:val="24"/>
              </w:rPr>
              <w:t xml:space="preserve"> – </w:t>
            </w:r>
            <w:r>
              <w:rPr>
                <w:rFonts w:ascii="Times New Roman" w:hAnsi="Times New Roman"/>
                <w:b/>
                <w:bCs/>
                <w:i/>
                <w:iCs/>
                <w:sz w:val="24"/>
              </w:rPr>
              <w:t>SA</w:t>
            </w:r>
            <w:r>
              <w:rPr>
                <w:rFonts w:ascii="Times New Roman" w:hAnsi="Times New Roman"/>
                <w:b/>
                <w:sz w:val="24"/>
              </w:rPr>
              <w:t xml:space="preserve"> riska darījumi</w:t>
            </w:r>
          </w:p>
          <w:p w14:paraId="7CE29C3B" w14:textId="5E2E21C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To aktīvu riska darījumu riska svērtā vērtība, kas ir </w:t>
            </w:r>
            <w:r>
              <w:rPr>
                <w:rFonts w:ascii="Times New Roman" w:hAnsi="Times New Roman"/>
                <w:i/>
                <w:iCs/>
                <w:sz w:val="24"/>
              </w:rPr>
              <w:t>SA</w:t>
            </w:r>
            <w:r>
              <w:rPr>
                <w:rFonts w:ascii="Times New Roman" w:hAnsi="Times New Roman"/>
                <w:sz w:val="24"/>
              </w:rPr>
              <w:t xml:space="preserve"> riska darījumi ar iestādēm un uz kuriem attiecas Regulas (ES) Nr. 575/2013 119.-121. punkts.</w:t>
            </w:r>
          </w:p>
          <w:p w14:paraId="6FA68F7E" w14:textId="7949A67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Iestādes šo vērtību norāda, atņemot </w:t>
            </w:r>
            <w:r>
              <w:rPr>
                <w:rFonts w:ascii="Times New Roman" w:hAnsi="Times New Roman"/>
                <w:i/>
                <w:iCs/>
                <w:sz w:val="24"/>
              </w:rPr>
              <w:t>SA</w:t>
            </w:r>
            <w:r>
              <w:rPr>
                <w:rFonts w:ascii="Times New Roman" w:hAnsi="Times New Roman"/>
                <w:sz w:val="24"/>
              </w:rPr>
              <w:t xml:space="preserve"> riska darījumus, kuros netiek pildītas saistības.</w:t>
            </w:r>
          </w:p>
        </w:tc>
      </w:tr>
      <w:tr w:rsidR="002A54FF" w:rsidRPr="00E75BB8" w14:paraId="1EFD30DA" w14:textId="77777777" w:rsidTr="000B66BC">
        <w:trPr>
          <w:trHeight w:val="71"/>
        </w:trPr>
        <w:tc>
          <w:tcPr>
            <w:tcW w:w="1559" w:type="dxa"/>
            <w:shd w:val="clear" w:color="auto" w:fill="FFFFFF"/>
          </w:tcPr>
          <w:p w14:paraId="025E39D1" w14:textId="03E4A4D2"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{0180;0040}</w:t>
            </w:r>
          </w:p>
        </w:tc>
        <w:tc>
          <w:tcPr>
            <w:tcW w:w="7406" w:type="dxa"/>
            <w:shd w:val="clear" w:color="auto" w:fill="FFFFFF"/>
          </w:tcPr>
          <w:p w14:paraId="73DCBC6C" w14:textId="7593C5D5"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Iestādes – </w:t>
            </w:r>
            <w:r>
              <w:rPr>
                <w:rFonts w:ascii="Times New Roman" w:hAnsi="Times New Roman"/>
                <w:b/>
                <w:bCs/>
                <w:i/>
                <w:iCs/>
                <w:sz w:val="24"/>
              </w:rPr>
              <w:t>RWEA</w:t>
            </w:r>
            <w:r>
              <w:rPr>
                <w:rFonts w:ascii="Times New Roman" w:hAnsi="Times New Roman"/>
                <w:b/>
                <w:sz w:val="24"/>
              </w:rPr>
              <w:t xml:space="preserve"> – IRB riska darījumi</w:t>
            </w:r>
          </w:p>
          <w:p w14:paraId="5E814575" w14:textId="18C9556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To aktīvu riska darījumu riska svērtā vērtība, kas ir IRB riska darījumi ar iestādēm, uz kuriem attiecas Regulas (ES) Nr. 575/2013 147. panta 2. punkta b) apakšpunkts, un kas nav riska darījumi segto obligāciju veidā saskaņā ar Regulas (ES) Nr. 575/2013 161. panta 1. punkta d) apakšpunktu, un uz kuriem neattiecas Regulas (ES) Nr. 575/2013 147. panta 4. punkta c) apakšpunkts.</w:t>
            </w:r>
          </w:p>
          <w:p w14:paraId="1830B0D9" w14:textId="127A9738"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Iestādes šo vērtību norāda, atņemot IRB riska darījumus, kuros netiek pildītas saistības.</w:t>
            </w:r>
          </w:p>
        </w:tc>
      </w:tr>
      <w:tr w:rsidR="002A54FF" w:rsidRPr="00E75BB8" w14:paraId="3B7F5DF8" w14:textId="77777777" w:rsidTr="000B66BC">
        <w:trPr>
          <w:trHeight w:val="71"/>
        </w:trPr>
        <w:tc>
          <w:tcPr>
            <w:tcW w:w="1559" w:type="dxa"/>
            <w:shd w:val="clear" w:color="auto" w:fill="FFFFFF"/>
          </w:tcPr>
          <w:p w14:paraId="7247E1A0" w14:textId="091D4A6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{0190;0010}</w:t>
            </w:r>
          </w:p>
        </w:tc>
        <w:tc>
          <w:tcPr>
            <w:tcW w:w="7406" w:type="dxa"/>
            <w:shd w:val="clear" w:color="auto" w:fill="FFFFFF"/>
          </w:tcPr>
          <w:p w14:paraId="1DB57456" w14:textId="01AD74E9"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Nodrošināti ar nekustamā īpašuma hipotēku; no kā – Sviras rādītāja riska darījuma vērtība – </w:t>
            </w:r>
            <w:r>
              <w:rPr>
                <w:rFonts w:ascii="Times New Roman" w:hAnsi="Times New Roman"/>
                <w:b/>
                <w:i/>
                <w:iCs/>
                <w:sz w:val="24"/>
              </w:rPr>
              <w:t>SA</w:t>
            </w:r>
            <w:r>
              <w:rPr>
                <w:rFonts w:ascii="Times New Roman" w:hAnsi="Times New Roman"/>
                <w:b/>
                <w:sz w:val="24"/>
              </w:rPr>
              <w:t xml:space="preserve"> riska darījumi</w:t>
            </w:r>
          </w:p>
          <w:p w14:paraId="17D67F5E" w14:textId="7EDDE2D9"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To aktīvu sviras rādītāja riska darījuma vērtība, kas ir tādi </w:t>
            </w:r>
            <w:r>
              <w:rPr>
                <w:rFonts w:ascii="Times New Roman" w:hAnsi="Times New Roman"/>
                <w:i/>
                <w:iCs/>
                <w:sz w:val="24"/>
              </w:rPr>
              <w:t>SA</w:t>
            </w:r>
            <w:r>
              <w:rPr>
                <w:rFonts w:ascii="Times New Roman" w:hAnsi="Times New Roman"/>
                <w:sz w:val="24"/>
              </w:rPr>
              <w:t xml:space="preserve"> riska darījumi, kas nodrošināti ar nekustamā īpašuma hipotēku, un </w:t>
            </w:r>
            <w:r>
              <w:rPr>
                <w:rFonts w:ascii="Times New Roman" w:hAnsi="Times New Roman"/>
                <w:i/>
                <w:iCs/>
                <w:sz w:val="24"/>
              </w:rPr>
              <w:t>ADC</w:t>
            </w:r>
            <w:r>
              <w:rPr>
                <w:rFonts w:ascii="Times New Roman" w:hAnsi="Times New Roman"/>
                <w:sz w:val="24"/>
              </w:rPr>
              <w:t xml:space="preserve"> riska darījumi, uz kuriem attiecas Regulas (EK) Nr. 575/2013 124.  un 126.a pants.</w:t>
            </w:r>
          </w:p>
          <w:p w14:paraId="4640B57D" w14:textId="7B28B7DF" w:rsidR="000A486B"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Iestādes šo vērtību norāda, atņemot </w:t>
            </w:r>
            <w:r>
              <w:rPr>
                <w:rFonts w:ascii="Times New Roman" w:hAnsi="Times New Roman"/>
                <w:i/>
                <w:iCs/>
                <w:sz w:val="24"/>
              </w:rPr>
              <w:t>SA</w:t>
            </w:r>
            <w:r>
              <w:rPr>
                <w:rFonts w:ascii="Times New Roman" w:hAnsi="Times New Roman"/>
                <w:sz w:val="24"/>
              </w:rPr>
              <w:t xml:space="preserve"> riska darījumus, kuros netiek pildītas saistības.</w:t>
            </w:r>
          </w:p>
        </w:tc>
      </w:tr>
      <w:tr w:rsidR="002A54FF" w:rsidRPr="00E75BB8" w14:paraId="56FBD004" w14:textId="77777777" w:rsidTr="000B66BC">
        <w:trPr>
          <w:trHeight w:val="71"/>
        </w:trPr>
        <w:tc>
          <w:tcPr>
            <w:tcW w:w="1559" w:type="dxa"/>
            <w:shd w:val="clear" w:color="auto" w:fill="FFFFFF"/>
          </w:tcPr>
          <w:p w14:paraId="2044B99B" w14:textId="7BA570D9"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{0190;0020}</w:t>
            </w:r>
          </w:p>
        </w:tc>
        <w:tc>
          <w:tcPr>
            <w:tcW w:w="7406" w:type="dxa"/>
            <w:shd w:val="clear" w:color="auto" w:fill="FFFFFF"/>
          </w:tcPr>
          <w:p w14:paraId="65802FBC" w14:textId="3578B747"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Nodrošināti ar nekustamā īpašuma hipotēku un </w:t>
            </w:r>
            <w:r>
              <w:rPr>
                <w:rFonts w:ascii="Times New Roman" w:hAnsi="Times New Roman"/>
                <w:b/>
                <w:i/>
                <w:iCs/>
                <w:sz w:val="24"/>
              </w:rPr>
              <w:t>ADC</w:t>
            </w:r>
            <w:r>
              <w:rPr>
                <w:rFonts w:ascii="Times New Roman" w:hAnsi="Times New Roman"/>
                <w:b/>
                <w:sz w:val="24"/>
              </w:rPr>
              <w:t xml:space="preserve"> riska darījumi – Sviras rādītāja riska darījuma vērtība – IRB riska darījumi</w:t>
            </w:r>
          </w:p>
          <w:p w14:paraId="61A2701B" w14:textId="449442F8" w:rsidR="001E1518"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To aktīvu sviras rādītāja riska darījuma vērtība, kas ir IRB riska darījumi ar komercsabiedrībām saskaņā ar Regulas (ES) Nr. 575/2013 147. panta 2. punkta c) apakšpunktu vai riska darījumi ar privātpersonām vai MVU saskaņā ar Regulas (ES) Nr. 575/2013 147. panta 2. punkta d) apakšpunkta ii) punktu, ja šie riska darījumi ir nodrošināti ar nekustamā īpašuma hipotēku, un </w:t>
            </w:r>
            <w:r>
              <w:rPr>
                <w:rFonts w:ascii="Times New Roman" w:hAnsi="Times New Roman"/>
                <w:i/>
                <w:iCs/>
                <w:sz w:val="24"/>
              </w:rPr>
              <w:t>ADC</w:t>
            </w:r>
            <w:r>
              <w:rPr>
                <w:rFonts w:ascii="Times New Roman" w:hAnsi="Times New Roman"/>
                <w:sz w:val="24"/>
              </w:rPr>
              <w:t xml:space="preserve"> riska darījumi saskaņā ar Regulas (ES) Nr. 575/2013 199. panta 1. punkta a) apakšpunktu.</w:t>
            </w:r>
          </w:p>
          <w:p w14:paraId="1A4EAAD1" w14:textId="25F5CC11"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Iestādes šo vērtību norāda, atņemot IRB riska darījumus, kuros netiek pildītas saistības.</w:t>
            </w:r>
          </w:p>
        </w:tc>
      </w:tr>
      <w:tr w:rsidR="002A54FF" w:rsidRPr="00E75BB8" w14:paraId="502C4EF4" w14:textId="77777777" w:rsidTr="000B66BC">
        <w:trPr>
          <w:trHeight w:val="71"/>
        </w:trPr>
        <w:tc>
          <w:tcPr>
            <w:tcW w:w="1559" w:type="dxa"/>
            <w:shd w:val="clear" w:color="auto" w:fill="FFFFFF"/>
          </w:tcPr>
          <w:p w14:paraId="15681D38" w14:textId="06E026C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{0190;0030}</w:t>
            </w:r>
          </w:p>
        </w:tc>
        <w:tc>
          <w:tcPr>
            <w:tcW w:w="7406" w:type="dxa"/>
            <w:shd w:val="clear" w:color="auto" w:fill="FFFFFF"/>
          </w:tcPr>
          <w:p w14:paraId="660D9FEE" w14:textId="6E11FD1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Nodrošināti ar nekustamā īpašuma hipotēku un </w:t>
            </w:r>
            <w:r>
              <w:rPr>
                <w:rFonts w:ascii="Times New Roman" w:hAnsi="Times New Roman"/>
                <w:b/>
                <w:i/>
                <w:iCs/>
                <w:sz w:val="24"/>
              </w:rPr>
              <w:t>ADC</w:t>
            </w:r>
            <w:r>
              <w:rPr>
                <w:rFonts w:ascii="Times New Roman" w:hAnsi="Times New Roman"/>
                <w:b/>
                <w:sz w:val="24"/>
              </w:rPr>
              <w:t xml:space="preserve"> riska darījumi – </w:t>
            </w:r>
            <w:r>
              <w:rPr>
                <w:rFonts w:ascii="Times New Roman" w:hAnsi="Times New Roman"/>
                <w:b/>
                <w:i/>
                <w:iCs/>
                <w:sz w:val="24"/>
              </w:rPr>
              <w:t>RWEA</w:t>
            </w:r>
            <w:r>
              <w:rPr>
                <w:rFonts w:ascii="Times New Roman" w:hAnsi="Times New Roman"/>
                <w:b/>
                <w:sz w:val="24"/>
              </w:rPr>
              <w:t xml:space="preserve"> – </w:t>
            </w:r>
            <w:r>
              <w:rPr>
                <w:rFonts w:ascii="Times New Roman" w:hAnsi="Times New Roman"/>
                <w:b/>
                <w:i/>
                <w:iCs/>
                <w:sz w:val="24"/>
              </w:rPr>
              <w:t>SA</w:t>
            </w:r>
            <w:r>
              <w:rPr>
                <w:rFonts w:ascii="Times New Roman" w:hAnsi="Times New Roman"/>
                <w:b/>
                <w:sz w:val="24"/>
              </w:rPr>
              <w:t xml:space="preserve"> riska darījumi</w:t>
            </w:r>
          </w:p>
          <w:p w14:paraId="7FD54199" w14:textId="06D9ED8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To aktīvu riska darījumu riska svērtā vērtība, kas ir </w:t>
            </w:r>
            <w:r>
              <w:rPr>
                <w:rFonts w:ascii="Times New Roman" w:hAnsi="Times New Roman"/>
                <w:i/>
                <w:iCs/>
                <w:sz w:val="24"/>
              </w:rPr>
              <w:t>SA</w:t>
            </w:r>
            <w:r>
              <w:rPr>
                <w:rFonts w:ascii="Times New Roman" w:hAnsi="Times New Roman"/>
                <w:sz w:val="24"/>
              </w:rPr>
              <w:t xml:space="preserve"> riska darījumi, kuri nodrošināti ar nekustamā īpašuma hipotēku, un </w:t>
            </w:r>
            <w:r>
              <w:rPr>
                <w:rFonts w:ascii="Times New Roman" w:hAnsi="Times New Roman"/>
                <w:i/>
                <w:iCs/>
                <w:sz w:val="24"/>
              </w:rPr>
              <w:t>ADC</w:t>
            </w:r>
            <w:r>
              <w:rPr>
                <w:rFonts w:ascii="Times New Roman" w:hAnsi="Times New Roman"/>
                <w:sz w:val="24"/>
              </w:rPr>
              <w:t xml:space="preserve"> riska darījumi, uz kuriem attiecas Regulas (ES) Nr. 575/2013 124. un 126.a pants.</w:t>
            </w:r>
          </w:p>
          <w:p w14:paraId="19AB0004" w14:textId="5017684F"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Iestādes šo vērtību norāda, atņemot </w:t>
            </w:r>
            <w:r>
              <w:rPr>
                <w:rFonts w:ascii="Times New Roman" w:hAnsi="Times New Roman"/>
                <w:i/>
                <w:iCs/>
                <w:sz w:val="24"/>
              </w:rPr>
              <w:t>SA</w:t>
            </w:r>
            <w:r>
              <w:rPr>
                <w:rFonts w:ascii="Times New Roman" w:hAnsi="Times New Roman"/>
                <w:sz w:val="24"/>
              </w:rPr>
              <w:t xml:space="preserve"> riska darījumus, kuros netiek pildītas saistības.</w:t>
            </w:r>
          </w:p>
        </w:tc>
      </w:tr>
      <w:tr w:rsidR="002A54FF" w:rsidRPr="00E75BB8" w14:paraId="523C1CD0" w14:textId="77777777" w:rsidTr="000B66BC">
        <w:trPr>
          <w:trHeight w:val="71"/>
        </w:trPr>
        <w:tc>
          <w:tcPr>
            <w:tcW w:w="1559" w:type="dxa"/>
            <w:shd w:val="clear" w:color="auto" w:fill="FFFFFF"/>
          </w:tcPr>
          <w:p w14:paraId="4EDDB4A4" w14:textId="1F5C8592"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{0190;0040}</w:t>
            </w:r>
          </w:p>
        </w:tc>
        <w:tc>
          <w:tcPr>
            <w:tcW w:w="7406" w:type="dxa"/>
            <w:shd w:val="clear" w:color="auto" w:fill="FFFFFF"/>
          </w:tcPr>
          <w:p w14:paraId="2A67D4CA" w14:textId="3E88AF47" w:rsidR="00F4754B" w:rsidRPr="000B66BC" w:rsidRDefault="00F4754B" w:rsidP="000B66BC">
            <w:pPr>
              <w:pStyle w:val="BodyText1"/>
              <w:tabs>
                <w:tab w:val="left" w:pos="6382"/>
              </w:tabs>
              <w:spacing w:after="240" w:line="240" w:lineRule="auto"/>
              <w:rPr>
                <w:rFonts w:ascii="Times New Roman" w:hAnsi="Times New Roman"/>
                <w:b/>
                <w:bCs/>
                <w:sz w:val="24"/>
                <w:szCs w:val="24"/>
              </w:rPr>
            </w:pPr>
            <w:r>
              <w:rPr>
                <w:rFonts w:ascii="Times New Roman" w:hAnsi="Times New Roman"/>
                <w:b/>
                <w:sz w:val="24"/>
              </w:rPr>
              <w:t xml:space="preserve">Nodrošināti ar nekustamā īpašuma hipotēku un </w:t>
            </w:r>
            <w:r>
              <w:rPr>
                <w:rFonts w:ascii="Times New Roman" w:hAnsi="Times New Roman"/>
                <w:b/>
                <w:i/>
                <w:iCs/>
                <w:sz w:val="24"/>
              </w:rPr>
              <w:t>ADC</w:t>
            </w:r>
            <w:r>
              <w:rPr>
                <w:rFonts w:ascii="Times New Roman" w:hAnsi="Times New Roman"/>
                <w:b/>
                <w:sz w:val="24"/>
              </w:rPr>
              <w:t xml:space="preserve"> riska darījumi – </w:t>
            </w:r>
            <w:r>
              <w:rPr>
                <w:rFonts w:ascii="Times New Roman" w:hAnsi="Times New Roman"/>
                <w:b/>
                <w:i/>
                <w:iCs/>
                <w:sz w:val="24"/>
              </w:rPr>
              <w:t>RWEA</w:t>
            </w:r>
            <w:r>
              <w:rPr>
                <w:rFonts w:ascii="Times New Roman" w:hAnsi="Times New Roman"/>
                <w:b/>
                <w:sz w:val="24"/>
              </w:rPr>
              <w:t xml:space="preserve"> – IRB riska darījumi</w:t>
            </w:r>
            <w:r>
              <w:rPr>
                <w:rFonts w:ascii="Times New Roman" w:hAnsi="Times New Roman"/>
                <w:b/>
                <w:sz w:val="24"/>
              </w:rPr>
              <w:tab/>
            </w:r>
          </w:p>
          <w:p w14:paraId="7586DF94" w14:textId="718ACA78" w:rsidR="009C4E79"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To aktīvu riska darījumu riska svērtā vērtība, kas ir IRB riska darījumi ar komercsabiedrībām saskaņā ar Regulas (ES) Nr. 575/2013 147. panta 2. punkta c) apakšpunktu vai riska darījumi ar privātpersonām vai MVU saskaņā ar Regulas (ES) Nr. 575/2013 147. panta 2. punkta d) apakšpunkta ii) punktu, ja šie riska darījumi ir nodrošināti ar nekustamā īpašuma hipotēku saskaņā ar Regulas (ES) Nr. 575/2013 199. panta 1. punkta a) apakšpunktu. Iestādes šo vērtību norāda, atņemot IRB riska darījumus, kuros netiek pildītas saistības.</w:t>
            </w:r>
          </w:p>
        </w:tc>
      </w:tr>
      <w:tr w:rsidR="002A54FF" w:rsidRPr="00E75BB8" w14:paraId="79F6725D" w14:textId="77777777" w:rsidTr="000B66BC">
        <w:trPr>
          <w:trHeight w:val="71"/>
        </w:trPr>
        <w:tc>
          <w:tcPr>
            <w:tcW w:w="1559" w:type="dxa"/>
            <w:shd w:val="clear" w:color="auto" w:fill="FFFFFF"/>
          </w:tcPr>
          <w:p w14:paraId="672A2EB4" w14:textId="70F516D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{0200;0010}</w:t>
            </w:r>
          </w:p>
        </w:tc>
        <w:tc>
          <w:tcPr>
            <w:tcW w:w="7406" w:type="dxa"/>
            <w:shd w:val="clear" w:color="auto" w:fill="FFFFFF"/>
          </w:tcPr>
          <w:p w14:paraId="584E92BF" w14:textId="77777777"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No kā: Nodrošināti ar mājokļa īpašuma hipotēku – Sviras rādītāja riska darījuma vērtība– </w:t>
            </w:r>
            <w:r>
              <w:rPr>
                <w:rFonts w:ascii="Times New Roman" w:hAnsi="Times New Roman"/>
                <w:b/>
                <w:i/>
                <w:iCs/>
                <w:sz w:val="24"/>
              </w:rPr>
              <w:t>SA</w:t>
            </w:r>
            <w:r>
              <w:rPr>
                <w:rFonts w:ascii="Times New Roman" w:hAnsi="Times New Roman"/>
                <w:b/>
                <w:sz w:val="24"/>
              </w:rPr>
              <w:t xml:space="preserve"> riska darījumi</w:t>
            </w:r>
          </w:p>
          <w:p w14:paraId="6D68CB80" w14:textId="74864D02"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To aktīvu sviras rādītāja riska darījuma vērtība, kas ir SA riska darījumi, kuri ir pilnībā nodrošināti ar mājokļa īpašuma hipotēku un uz kuriem attiecas Regulas (ES) Nr. 575/2013 125. pants.</w:t>
            </w:r>
          </w:p>
          <w:p w14:paraId="76AD85E4" w14:textId="268C492C"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 xml:space="preserve">Iestādes šo vērtību norāda, atņemot </w:t>
            </w:r>
            <w:r>
              <w:rPr>
                <w:rFonts w:ascii="Times New Roman" w:hAnsi="Times New Roman"/>
                <w:i/>
                <w:iCs/>
                <w:sz w:val="24"/>
              </w:rPr>
              <w:t>SA</w:t>
            </w:r>
            <w:r>
              <w:rPr>
                <w:rFonts w:ascii="Times New Roman" w:hAnsi="Times New Roman"/>
                <w:sz w:val="24"/>
              </w:rPr>
              <w:t xml:space="preserve"> riska darījumus, kuros netiek pildītas saistības.</w:t>
            </w:r>
          </w:p>
        </w:tc>
      </w:tr>
      <w:tr w:rsidR="002A54FF" w:rsidRPr="00E75BB8" w14:paraId="29B94991" w14:textId="77777777" w:rsidTr="000B66BC">
        <w:trPr>
          <w:trHeight w:val="71"/>
        </w:trPr>
        <w:tc>
          <w:tcPr>
            <w:tcW w:w="1559" w:type="dxa"/>
            <w:shd w:val="clear" w:color="auto" w:fill="FFFFFF"/>
          </w:tcPr>
          <w:p w14:paraId="7E8E4168" w14:textId="098FD087"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{0200;0020}</w:t>
            </w:r>
          </w:p>
        </w:tc>
        <w:tc>
          <w:tcPr>
            <w:tcW w:w="7406" w:type="dxa"/>
            <w:shd w:val="clear" w:color="auto" w:fill="FFFFFF"/>
          </w:tcPr>
          <w:p w14:paraId="32703B14" w14:textId="77777777" w:rsidR="00F4754B" w:rsidRPr="000B66BC" w:rsidRDefault="00920DD9" w:rsidP="000B66BC">
            <w:pPr>
              <w:pStyle w:val="BodyText1"/>
              <w:spacing w:after="240" w:line="240" w:lineRule="auto"/>
              <w:rPr>
                <w:rFonts w:ascii="Times New Roman" w:hAnsi="Times New Roman"/>
                <w:b/>
                <w:sz w:val="24"/>
                <w:szCs w:val="24"/>
              </w:rPr>
            </w:pPr>
            <w:r>
              <w:rPr>
                <w:rFonts w:ascii="Times New Roman" w:hAnsi="Times New Roman"/>
                <w:b/>
                <w:sz w:val="24"/>
              </w:rPr>
              <w:t>No kā: Nodrošināti ar mājokļa īpašuma hipotēku – Sviras rādītāja riska darījuma vērtība – IRB riska darījumi</w:t>
            </w:r>
          </w:p>
          <w:p w14:paraId="225F5A50" w14:textId="002E067D"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To aktīvu sviras rādītāja riska darījuma vērtība, kas ir IRB riska darījumi ar komercsabiedrībām saskaņā ar Regulas (ES) Nr. 575/2013 147. panta 2. punkta c) apakšpunktu vai riska darījumi ar privātpersonām vai MVU saskaņā ar Regulas (ES) Nr. 575/2013 147. panta 2. punkta d) apakšpunkta ii) punktu, ja šie riska darījumi ir nodrošināti ar mājokļa īpašuma hipotēku saskaņā ar Regulas (ES) Nr. 575/2013 199. panta 1. punkta a) apakšpunktu.</w:t>
            </w:r>
          </w:p>
          <w:p w14:paraId="3F187E7D" w14:textId="2026D8AC" w:rsidR="004B064A" w:rsidRPr="000B66BC" w:rsidDel="003A59D6"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Iestādes šo vērtību norāda, atņemot IRB riska darījumus, kuros netiek pildītas saistības.</w:t>
            </w:r>
          </w:p>
        </w:tc>
      </w:tr>
      <w:tr w:rsidR="002A54FF" w:rsidRPr="00E75BB8" w14:paraId="14374F64" w14:textId="77777777" w:rsidTr="000B66BC">
        <w:trPr>
          <w:trHeight w:val="71"/>
        </w:trPr>
        <w:tc>
          <w:tcPr>
            <w:tcW w:w="1559" w:type="dxa"/>
            <w:shd w:val="clear" w:color="auto" w:fill="FFFFFF"/>
          </w:tcPr>
          <w:p w14:paraId="44481671" w14:textId="4931896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{0200;0030}</w:t>
            </w:r>
          </w:p>
        </w:tc>
        <w:tc>
          <w:tcPr>
            <w:tcW w:w="7406" w:type="dxa"/>
            <w:shd w:val="clear" w:color="auto" w:fill="FFFFFF"/>
          </w:tcPr>
          <w:p w14:paraId="1C91D3EE" w14:textId="0C703C50"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No kā: Nodrošināti ar mājokļa īpašuma hipotēku – </w:t>
            </w:r>
            <w:r>
              <w:rPr>
                <w:rFonts w:ascii="Times New Roman" w:hAnsi="Times New Roman"/>
                <w:b/>
                <w:i/>
                <w:iCs/>
                <w:sz w:val="24"/>
              </w:rPr>
              <w:t>RWEA</w:t>
            </w:r>
            <w:r>
              <w:rPr>
                <w:rFonts w:ascii="Times New Roman" w:hAnsi="Times New Roman"/>
                <w:b/>
                <w:sz w:val="24"/>
              </w:rPr>
              <w:t xml:space="preserve"> – </w:t>
            </w:r>
            <w:r>
              <w:rPr>
                <w:rFonts w:ascii="Times New Roman" w:hAnsi="Times New Roman"/>
                <w:b/>
                <w:i/>
                <w:iCs/>
                <w:sz w:val="24"/>
              </w:rPr>
              <w:t>SA</w:t>
            </w:r>
            <w:r>
              <w:rPr>
                <w:rFonts w:ascii="Times New Roman" w:hAnsi="Times New Roman"/>
                <w:b/>
                <w:sz w:val="24"/>
              </w:rPr>
              <w:t xml:space="preserve"> riska darījumi</w:t>
            </w:r>
          </w:p>
          <w:p w14:paraId="2432C156" w14:textId="00BB8CEE"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To aktīvu riska darījumu riska svērtā vērtība, kas ir </w:t>
            </w:r>
            <w:r>
              <w:rPr>
                <w:rFonts w:ascii="Times New Roman" w:hAnsi="Times New Roman"/>
                <w:i/>
                <w:iCs/>
                <w:sz w:val="24"/>
              </w:rPr>
              <w:t>SA</w:t>
            </w:r>
            <w:r>
              <w:rPr>
                <w:rFonts w:ascii="Times New Roman" w:hAnsi="Times New Roman"/>
                <w:sz w:val="24"/>
              </w:rPr>
              <w:t xml:space="preserve"> riska darījumi, kuri ir pilnībā nodrošināti ar mājokļa īpašuma hipotēku un uz kuriem attiecas Regulas (ES) Nr. 575/2013 125. pants.</w:t>
            </w:r>
          </w:p>
          <w:p w14:paraId="26D9FFCE" w14:textId="4577953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Iestādes šo vērtību norāda, atņemot </w:t>
            </w:r>
            <w:r>
              <w:rPr>
                <w:rFonts w:ascii="Times New Roman" w:hAnsi="Times New Roman"/>
                <w:i/>
                <w:iCs/>
                <w:sz w:val="24"/>
              </w:rPr>
              <w:t>SA</w:t>
            </w:r>
            <w:r>
              <w:rPr>
                <w:rFonts w:ascii="Times New Roman" w:hAnsi="Times New Roman"/>
                <w:sz w:val="24"/>
              </w:rPr>
              <w:t xml:space="preserve"> riska darījumus, kuros netiek pildītas saistības.</w:t>
            </w:r>
          </w:p>
        </w:tc>
      </w:tr>
      <w:tr w:rsidR="002A54FF" w:rsidRPr="00E75BB8" w14:paraId="0D3A4E36" w14:textId="77777777" w:rsidTr="000B66BC">
        <w:trPr>
          <w:trHeight w:val="71"/>
        </w:trPr>
        <w:tc>
          <w:tcPr>
            <w:tcW w:w="1559" w:type="dxa"/>
            <w:shd w:val="clear" w:color="auto" w:fill="FFFFFF"/>
          </w:tcPr>
          <w:p w14:paraId="28ED62BB" w14:textId="034112B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{0200;0040}</w:t>
            </w:r>
          </w:p>
        </w:tc>
        <w:tc>
          <w:tcPr>
            <w:tcW w:w="7406" w:type="dxa"/>
            <w:shd w:val="clear" w:color="auto" w:fill="FFFFFF"/>
          </w:tcPr>
          <w:p w14:paraId="35F16AA3" w14:textId="7277D856"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No kā: Nodrošināti ar mājokļa īpašuma hipotēku – </w:t>
            </w:r>
            <w:r>
              <w:rPr>
                <w:rFonts w:ascii="Times New Roman" w:hAnsi="Times New Roman"/>
                <w:b/>
                <w:i/>
                <w:iCs/>
                <w:sz w:val="24"/>
              </w:rPr>
              <w:t>RWEA</w:t>
            </w:r>
            <w:r>
              <w:rPr>
                <w:rFonts w:ascii="Times New Roman" w:hAnsi="Times New Roman"/>
                <w:b/>
                <w:sz w:val="24"/>
              </w:rPr>
              <w:t xml:space="preserve"> – IRB riska darījumi</w:t>
            </w:r>
          </w:p>
          <w:p w14:paraId="17020383" w14:textId="27BD45C5"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To aktīvu riska darījumu riska svērtā vērtība, kas ir IRB riska darījumi ar komercsabiedrībām saskaņā ar Regulas (ES) Nr. 575/2013 147. panta 2. punkta c) apakšpunktu vai riska darījumi ar privātpersonām vai MVU saskaņā ar Regulas (ES) Nr. 575/2013 147. panta 2. punkta d) apakšpunkta ii) punktu, ja šie riska darījumi ir nodrošināti ar mājokļa īpašuma hipotēku saskaņā ar Regulas (ES) Nr. 575/2013 199. panta 1. punkta a) apakšpunktu.</w:t>
            </w:r>
          </w:p>
          <w:p w14:paraId="434D72CF" w14:textId="69DE627D" w:rsidR="004250C0"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Iestādes šo vērtību norāda, atņemot IRB riska darījumus, kuros netiek pildītas saistības.</w:t>
            </w:r>
          </w:p>
        </w:tc>
      </w:tr>
      <w:tr w:rsidR="002A54FF" w:rsidRPr="00E75BB8" w14:paraId="18D713C4" w14:textId="77777777" w:rsidTr="000B66BC">
        <w:trPr>
          <w:trHeight w:val="71"/>
        </w:trPr>
        <w:tc>
          <w:tcPr>
            <w:tcW w:w="1559" w:type="dxa"/>
            <w:shd w:val="clear" w:color="auto" w:fill="FFFFFF"/>
          </w:tcPr>
          <w:p w14:paraId="10D72D62" w14:textId="3E23070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{0210;0010}</w:t>
            </w:r>
          </w:p>
        </w:tc>
        <w:tc>
          <w:tcPr>
            <w:tcW w:w="7406" w:type="dxa"/>
            <w:shd w:val="clear" w:color="auto" w:fill="FFFFFF"/>
          </w:tcPr>
          <w:p w14:paraId="29F4D22F" w14:textId="0AFB67CF"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Riska darījumi ar privātpersonām vai MVU – Sviras rādītāja riska darījuma vērtība – </w:t>
            </w:r>
            <w:r>
              <w:rPr>
                <w:rFonts w:ascii="Times New Roman" w:hAnsi="Times New Roman"/>
                <w:b/>
                <w:i/>
                <w:iCs/>
                <w:sz w:val="24"/>
              </w:rPr>
              <w:t>SA</w:t>
            </w:r>
            <w:r>
              <w:rPr>
                <w:rFonts w:ascii="Times New Roman" w:hAnsi="Times New Roman"/>
                <w:b/>
                <w:sz w:val="24"/>
              </w:rPr>
              <w:t xml:space="preserve"> riska darījumi</w:t>
            </w:r>
          </w:p>
          <w:p w14:paraId="1C50F3CF" w14:textId="232A5189"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To aktīvu sviras rādītāja riska darījuma vērtība, kas ir tādi </w:t>
            </w:r>
            <w:r>
              <w:rPr>
                <w:rFonts w:ascii="Times New Roman" w:hAnsi="Times New Roman"/>
                <w:i/>
                <w:iCs/>
                <w:sz w:val="24"/>
              </w:rPr>
              <w:t>SA</w:t>
            </w:r>
            <w:r>
              <w:rPr>
                <w:rFonts w:ascii="Times New Roman" w:hAnsi="Times New Roman"/>
                <w:sz w:val="24"/>
              </w:rPr>
              <w:t xml:space="preserve"> riska darījumi, uz kuriem attiecas Regulas (ES) Nr. 575/2013 123. pants.</w:t>
            </w:r>
          </w:p>
          <w:p w14:paraId="467BDCEC" w14:textId="6EA2353B"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 xml:space="preserve">Iestādes šo vērtību norāda, atņemot </w:t>
            </w:r>
            <w:r>
              <w:rPr>
                <w:rFonts w:ascii="Times New Roman" w:hAnsi="Times New Roman"/>
                <w:i/>
                <w:iCs/>
                <w:sz w:val="24"/>
              </w:rPr>
              <w:t>SA</w:t>
            </w:r>
            <w:r>
              <w:rPr>
                <w:rFonts w:ascii="Times New Roman" w:hAnsi="Times New Roman"/>
                <w:sz w:val="24"/>
              </w:rPr>
              <w:t xml:space="preserve"> riska darījumus, kuros netiek pildītas saistības.</w:t>
            </w:r>
          </w:p>
        </w:tc>
      </w:tr>
      <w:tr w:rsidR="002A54FF" w:rsidRPr="00E75BB8" w14:paraId="29E5C489" w14:textId="77777777" w:rsidTr="000B66BC">
        <w:trPr>
          <w:trHeight w:val="71"/>
        </w:trPr>
        <w:tc>
          <w:tcPr>
            <w:tcW w:w="1559" w:type="dxa"/>
            <w:shd w:val="clear" w:color="auto" w:fill="FFFFFF"/>
          </w:tcPr>
          <w:p w14:paraId="0E1E0B5E" w14:textId="70EE57D3"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{0210;0020}</w:t>
            </w:r>
          </w:p>
        </w:tc>
        <w:tc>
          <w:tcPr>
            <w:tcW w:w="7406" w:type="dxa"/>
            <w:shd w:val="clear" w:color="auto" w:fill="FFFFFF"/>
          </w:tcPr>
          <w:p w14:paraId="31A6BB5D" w14:textId="22D5A81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Riska darījumi ar privātpersonām vai MVU – Sviras rādītāja riska darījuma vērtība – IRB riska darījumi</w:t>
            </w:r>
          </w:p>
          <w:p w14:paraId="2F48B2D6" w14:textId="33692B94"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To aktīvu sviras rādītāja riska darījuma vērtība, kas ir IRB riska darījumi ar privātpersonām vai MVU saskaņā ar Regulas (ES) Nr. 575/2013 147. panta 2. punkta d) apakšpunkta i), iii) un iv) punktu, ja šie riska darījumi nav nodrošināti ar nekustamā īpašuma hipotēku saskaņā ar Regulas (ES) Nr. 575/2013 199. panta 1. punkta a) apakšpunktu.</w:t>
            </w:r>
          </w:p>
          <w:p w14:paraId="3E24EEB1" w14:textId="56A3B7C1"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Iestādes šo vērtību norāda, atņemot IRB riska darījumus, kuros netiek pildītas saistības.</w:t>
            </w:r>
          </w:p>
        </w:tc>
      </w:tr>
      <w:tr w:rsidR="002A54FF" w:rsidRPr="00E75BB8" w14:paraId="2494CE48" w14:textId="77777777" w:rsidTr="000B66BC">
        <w:trPr>
          <w:trHeight w:val="71"/>
        </w:trPr>
        <w:tc>
          <w:tcPr>
            <w:tcW w:w="1559" w:type="dxa"/>
            <w:shd w:val="clear" w:color="auto" w:fill="FFFFFF"/>
          </w:tcPr>
          <w:p w14:paraId="6EB17324" w14:textId="46932817"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{0210;0030}</w:t>
            </w:r>
          </w:p>
        </w:tc>
        <w:tc>
          <w:tcPr>
            <w:tcW w:w="7406" w:type="dxa"/>
            <w:shd w:val="clear" w:color="auto" w:fill="FFFFFF"/>
          </w:tcPr>
          <w:p w14:paraId="289B0ED6" w14:textId="3F634A7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Riska darījumi ar privātpersonām vai MVU – </w:t>
            </w:r>
            <w:r>
              <w:rPr>
                <w:rFonts w:ascii="Times New Roman" w:hAnsi="Times New Roman"/>
                <w:b/>
                <w:i/>
                <w:iCs/>
                <w:sz w:val="24"/>
              </w:rPr>
              <w:t>RWEA</w:t>
            </w:r>
            <w:r>
              <w:rPr>
                <w:rFonts w:ascii="Times New Roman" w:hAnsi="Times New Roman"/>
                <w:b/>
                <w:sz w:val="24"/>
              </w:rPr>
              <w:t xml:space="preserve"> –</w:t>
            </w:r>
            <w:r>
              <w:rPr>
                <w:rFonts w:ascii="Times New Roman" w:hAnsi="Times New Roman"/>
                <w:b/>
                <w:i/>
                <w:iCs/>
                <w:sz w:val="24"/>
              </w:rPr>
              <w:t xml:space="preserve"> SA</w:t>
            </w:r>
            <w:r>
              <w:rPr>
                <w:rFonts w:ascii="Times New Roman" w:hAnsi="Times New Roman"/>
                <w:b/>
                <w:sz w:val="24"/>
              </w:rPr>
              <w:t xml:space="preserve"> riska darījumi</w:t>
            </w:r>
          </w:p>
          <w:p w14:paraId="078B0D1B" w14:textId="64B99A17"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To aktīvu riska darījumu riska svērtā vērtība, kas ir </w:t>
            </w:r>
            <w:r>
              <w:rPr>
                <w:rFonts w:ascii="Times New Roman" w:hAnsi="Times New Roman"/>
                <w:i/>
                <w:iCs/>
                <w:sz w:val="24"/>
              </w:rPr>
              <w:t>SA</w:t>
            </w:r>
            <w:r>
              <w:rPr>
                <w:rFonts w:ascii="Times New Roman" w:hAnsi="Times New Roman"/>
                <w:sz w:val="24"/>
              </w:rPr>
              <w:t xml:space="preserve"> riska darījumi ar privātpersonām vai MVU, uz kuriem attiecas Regulas (ES) Nr. 575/2013 123. pants.</w:t>
            </w:r>
          </w:p>
          <w:p w14:paraId="32C0AC0A" w14:textId="1D4C9F45"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Iestādes šo vērtību norāda, atņemot </w:t>
            </w:r>
            <w:r>
              <w:rPr>
                <w:rFonts w:ascii="Times New Roman" w:hAnsi="Times New Roman"/>
                <w:i/>
                <w:iCs/>
                <w:sz w:val="24"/>
              </w:rPr>
              <w:t>SA</w:t>
            </w:r>
            <w:r>
              <w:rPr>
                <w:rFonts w:ascii="Times New Roman" w:hAnsi="Times New Roman"/>
                <w:sz w:val="24"/>
              </w:rPr>
              <w:t xml:space="preserve"> riska darījumus, kuros netiek pildītas saistības.</w:t>
            </w:r>
          </w:p>
        </w:tc>
      </w:tr>
      <w:tr w:rsidR="002A54FF" w:rsidRPr="00E75BB8" w14:paraId="076433D7" w14:textId="77777777" w:rsidTr="000B66BC">
        <w:trPr>
          <w:trHeight w:val="71"/>
        </w:trPr>
        <w:tc>
          <w:tcPr>
            <w:tcW w:w="1559" w:type="dxa"/>
            <w:shd w:val="clear" w:color="auto" w:fill="FFFFFF"/>
          </w:tcPr>
          <w:p w14:paraId="7BBA610A" w14:textId="7E09D9E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{0210;0040}</w:t>
            </w:r>
          </w:p>
        </w:tc>
        <w:tc>
          <w:tcPr>
            <w:tcW w:w="7406" w:type="dxa"/>
            <w:shd w:val="clear" w:color="auto" w:fill="FFFFFF"/>
          </w:tcPr>
          <w:p w14:paraId="3829C860" w14:textId="1B4CBE35"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Riska darījumi ar privātpersonām vai MVU – </w:t>
            </w:r>
            <w:r>
              <w:rPr>
                <w:rFonts w:ascii="Times New Roman" w:hAnsi="Times New Roman"/>
                <w:b/>
                <w:i/>
                <w:iCs/>
                <w:sz w:val="24"/>
              </w:rPr>
              <w:t>RWEA</w:t>
            </w:r>
            <w:r>
              <w:rPr>
                <w:rFonts w:ascii="Times New Roman" w:hAnsi="Times New Roman"/>
                <w:b/>
                <w:sz w:val="24"/>
              </w:rPr>
              <w:t xml:space="preserve"> – IRB riska darījumi</w:t>
            </w:r>
          </w:p>
          <w:p w14:paraId="270C61EF" w14:textId="63E1319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To aktīvu riska darījumu riska svērtā vērtība, kas ir IRB riska darījumi ar riska darījumi ar privātpersonām vai MVU saskaņā ar Regulas (ES) Nr. 575/2013 147. panta 2. punkta d) apakšpunkta i), iii) un iv) punktu, ja šie riska darījumi nav nodrošināti ar nekustamā īpašuma hipotēku saskaņā ar Regulas (ES) Nr. 575/2013 199. panta 1. punkta a) apakšpunktu.</w:t>
            </w:r>
          </w:p>
          <w:p w14:paraId="46460615" w14:textId="10D30752"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Iestādes šo vērtību norāda, atņemot IRB riska darījumus, kuros netiek pildītas saistības.</w:t>
            </w:r>
          </w:p>
        </w:tc>
      </w:tr>
      <w:tr w:rsidR="002A54FF" w:rsidRPr="00E75BB8" w14:paraId="0AAA69A4" w14:textId="77777777" w:rsidTr="000B66BC">
        <w:trPr>
          <w:trHeight w:val="71"/>
        </w:trPr>
        <w:tc>
          <w:tcPr>
            <w:tcW w:w="1559" w:type="dxa"/>
            <w:shd w:val="clear" w:color="auto" w:fill="FFFFFF"/>
          </w:tcPr>
          <w:p w14:paraId="2A257B46" w14:textId="42862C0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{0220;0010}</w:t>
            </w:r>
          </w:p>
        </w:tc>
        <w:tc>
          <w:tcPr>
            <w:tcW w:w="7406" w:type="dxa"/>
            <w:shd w:val="clear" w:color="auto" w:fill="FFFFFF"/>
          </w:tcPr>
          <w:p w14:paraId="7AF700CC" w14:textId="77777777" w:rsidR="00F4754B" w:rsidRPr="000B66BC" w:rsidRDefault="00920DD9" w:rsidP="000B66BC">
            <w:pPr>
              <w:pStyle w:val="BodyText1"/>
              <w:spacing w:after="240" w:line="240" w:lineRule="auto"/>
              <w:rPr>
                <w:rFonts w:ascii="Times New Roman" w:hAnsi="Times New Roman"/>
                <w:b/>
                <w:sz w:val="24"/>
                <w:szCs w:val="24"/>
              </w:rPr>
            </w:pPr>
            <w:r>
              <w:rPr>
                <w:rFonts w:ascii="Times New Roman" w:hAnsi="Times New Roman"/>
                <w:b/>
                <w:sz w:val="24"/>
              </w:rPr>
              <w:t xml:space="preserve">No kā: Riska </w:t>
            </w:r>
            <w:proofErr w:type="spellStart"/>
            <w:r>
              <w:rPr>
                <w:rFonts w:ascii="Times New Roman" w:hAnsi="Times New Roman"/>
                <w:b/>
                <w:sz w:val="24"/>
              </w:rPr>
              <w:t>mazumdarījumi</w:t>
            </w:r>
            <w:proofErr w:type="spellEnd"/>
            <w:r>
              <w:rPr>
                <w:rFonts w:ascii="Times New Roman" w:hAnsi="Times New Roman"/>
                <w:b/>
                <w:sz w:val="24"/>
              </w:rPr>
              <w:t xml:space="preserve"> ar MVU – Sviras rādītāja riska darījuma vērtība – </w:t>
            </w:r>
            <w:r>
              <w:rPr>
                <w:rFonts w:ascii="Times New Roman" w:hAnsi="Times New Roman"/>
                <w:b/>
                <w:i/>
                <w:iCs/>
                <w:sz w:val="24"/>
              </w:rPr>
              <w:t>SA</w:t>
            </w:r>
            <w:r>
              <w:rPr>
                <w:rFonts w:ascii="Times New Roman" w:hAnsi="Times New Roman"/>
                <w:b/>
                <w:sz w:val="24"/>
              </w:rPr>
              <w:t xml:space="preserve"> riska darījumi</w:t>
            </w:r>
          </w:p>
          <w:p w14:paraId="30054418" w14:textId="51396120"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To aktīvu sviras rādītāja riska darījuma vērtība, kas ir tādi </w:t>
            </w:r>
            <w:r>
              <w:rPr>
                <w:rFonts w:ascii="Times New Roman" w:hAnsi="Times New Roman"/>
                <w:i/>
                <w:iCs/>
                <w:sz w:val="24"/>
              </w:rPr>
              <w:t>SA</w:t>
            </w:r>
            <w:r>
              <w:rPr>
                <w:rFonts w:ascii="Times New Roman" w:hAnsi="Times New Roman"/>
                <w:sz w:val="24"/>
              </w:rPr>
              <w:t xml:space="preserve"> riska darījumi ar maziem un vidējiem uzņēmumiem, uz kuriem attiecas Regulas (ES) Nr. 575/2013 123. pants.</w:t>
            </w:r>
          </w:p>
          <w:p w14:paraId="55120FDB" w14:textId="214FE397"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sz w:val="24"/>
              </w:rPr>
              <w:t>Termins “mazais un vidējais uzņēmums” šīs šūnas vajadzībām atbilst definīcijai Regulas (ES) Nr. 575/2013 501. panta 2. punkta b) apakšpunktā.</w:t>
            </w:r>
          </w:p>
          <w:p w14:paraId="4231C6F4" w14:textId="7E0CACE5" w:rsidR="002509B1" w:rsidRPr="000B66BC" w:rsidRDefault="00086A8A" w:rsidP="000B66BC">
            <w:pPr>
              <w:pStyle w:val="BodyText1"/>
              <w:spacing w:after="240" w:line="240" w:lineRule="auto"/>
              <w:rPr>
                <w:rFonts w:ascii="Times New Roman" w:hAnsi="Times New Roman"/>
                <w:b/>
                <w:bCs/>
                <w:sz w:val="24"/>
                <w:szCs w:val="24"/>
              </w:rPr>
            </w:pPr>
            <w:r>
              <w:rPr>
                <w:rFonts w:ascii="Times New Roman" w:hAnsi="Times New Roman"/>
                <w:sz w:val="24"/>
              </w:rPr>
              <w:t xml:space="preserve">Iestādes šo vērtību norāda, atņemot </w:t>
            </w:r>
            <w:r>
              <w:rPr>
                <w:rFonts w:ascii="Times New Roman" w:hAnsi="Times New Roman"/>
                <w:i/>
                <w:iCs/>
                <w:sz w:val="24"/>
              </w:rPr>
              <w:t>SA</w:t>
            </w:r>
            <w:r>
              <w:rPr>
                <w:rFonts w:ascii="Times New Roman" w:hAnsi="Times New Roman"/>
                <w:sz w:val="24"/>
              </w:rPr>
              <w:t xml:space="preserve"> riska darījumus, kuros netiek pildītas saistības.</w:t>
            </w:r>
          </w:p>
        </w:tc>
      </w:tr>
      <w:tr w:rsidR="002A54FF" w:rsidRPr="00E75BB8" w14:paraId="7C0D9518" w14:textId="77777777" w:rsidTr="000B66BC">
        <w:trPr>
          <w:trHeight w:val="71"/>
        </w:trPr>
        <w:tc>
          <w:tcPr>
            <w:tcW w:w="1559" w:type="dxa"/>
            <w:shd w:val="clear" w:color="auto" w:fill="FFFFFF"/>
          </w:tcPr>
          <w:p w14:paraId="46A37ABD" w14:textId="2C88404B"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{0220;0020}</w:t>
            </w:r>
          </w:p>
        </w:tc>
        <w:tc>
          <w:tcPr>
            <w:tcW w:w="7406" w:type="dxa"/>
            <w:shd w:val="clear" w:color="auto" w:fill="FFFFFF"/>
          </w:tcPr>
          <w:p w14:paraId="08A88D6A" w14:textId="77777777"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sz w:val="24"/>
              </w:rPr>
              <w:t>No kā: Riska darījumi ar MVU – sviras rādītāja riska darījuma vērtība – IRB riska darījumi</w:t>
            </w:r>
          </w:p>
          <w:p w14:paraId="781E0C73" w14:textId="533752F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To aktīvu riska darījumu vērtības mērs, kas ir IRB riska darījumi ar privātpersonām un MVU saskaņā ar Regulas (ES) Nr. 575/2013 147. panta 2. punkta d) apakšpunkta i), iii) un iv) punktu, ja šie riska darījumi ir riska darījumi ar maziem un vidējiem uzņēmumiem un nav nodrošināti ar nekustamā īpašuma hipotēku saskaņā ar Regulas (ES) Nr. 575/2013 199. panta 1. punkta a) apakšpunktu.</w:t>
            </w:r>
          </w:p>
          <w:p w14:paraId="33D07FA1" w14:textId="0C76B163"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sz w:val="24"/>
              </w:rPr>
              <w:t>Termins “mazais un vidējais uzņēmums” šīs šūnas vajadzībām atbilst definīcijai Regulas (ES) Nr. 575/2013 501. panta 2. punkta b) apakšpunktā.</w:t>
            </w:r>
          </w:p>
          <w:p w14:paraId="04884D64" w14:textId="407FECC5" w:rsidR="002509B1" w:rsidRPr="000B66BC" w:rsidDel="00EC6E42"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Iestādes šo vērtību norāda, atņemot IRB riska darījumus, kuros netiek pildītas saistības.</w:t>
            </w:r>
          </w:p>
        </w:tc>
      </w:tr>
      <w:tr w:rsidR="002A54FF" w:rsidRPr="00E75BB8" w14:paraId="7A8F06D1" w14:textId="77777777" w:rsidTr="000B66BC">
        <w:trPr>
          <w:trHeight w:val="71"/>
        </w:trPr>
        <w:tc>
          <w:tcPr>
            <w:tcW w:w="1559" w:type="dxa"/>
            <w:shd w:val="clear" w:color="auto" w:fill="FFFFFF"/>
          </w:tcPr>
          <w:p w14:paraId="301DBA86" w14:textId="0C22B55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{0220;0030}</w:t>
            </w:r>
          </w:p>
        </w:tc>
        <w:tc>
          <w:tcPr>
            <w:tcW w:w="7406" w:type="dxa"/>
            <w:shd w:val="clear" w:color="auto" w:fill="FFFFFF"/>
          </w:tcPr>
          <w:p w14:paraId="54B8F22A" w14:textId="1D4B13D9" w:rsidR="002509B1"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No kā: Riska </w:t>
            </w:r>
            <w:proofErr w:type="spellStart"/>
            <w:r>
              <w:rPr>
                <w:rFonts w:ascii="Times New Roman" w:hAnsi="Times New Roman"/>
                <w:b/>
                <w:sz w:val="24"/>
              </w:rPr>
              <w:t>mazumdarījumi</w:t>
            </w:r>
            <w:proofErr w:type="spellEnd"/>
            <w:r>
              <w:rPr>
                <w:rFonts w:ascii="Times New Roman" w:hAnsi="Times New Roman"/>
                <w:b/>
                <w:sz w:val="24"/>
              </w:rPr>
              <w:t xml:space="preserve"> ar MVU – </w:t>
            </w:r>
            <w:r>
              <w:rPr>
                <w:rFonts w:ascii="Times New Roman" w:hAnsi="Times New Roman"/>
                <w:b/>
                <w:i/>
                <w:iCs/>
                <w:sz w:val="24"/>
              </w:rPr>
              <w:t>RWEA</w:t>
            </w:r>
            <w:r>
              <w:rPr>
                <w:rFonts w:ascii="Times New Roman" w:hAnsi="Times New Roman"/>
                <w:b/>
                <w:sz w:val="24"/>
              </w:rPr>
              <w:t xml:space="preserve"> – SA riska darījumi</w:t>
            </w:r>
          </w:p>
          <w:p w14:paraId="6A3FD743" w14:textId="06AB1830"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To aktīvu riska darījumu riska svērtā vērtība, kas ir tādi SA riska darījumi ar maziem un vidējiem uzņēmumiem, uz kuriem attiecas Regulas (ES) Nr. 575/2013 123. pants.</w:t>
            </w:r>
          </w:p>
          <w:p w14:paraId="550AD4D7" w14:textId="6CCB9C03" w:rsidR="00086A8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sz w:val="24"/>
              </w:rPr>
              <w:t>Termins “mazais un vidējais uzņēmums” šīs šūnas vajadzībām atbilst definīcijai Regulas (ES) Nr. 575/2013 501. panta 2. punkta b) apakšpunktā.</w:t>
            </w:r>
          </w:p>
          <w:p w14:paraId="1B6B32F8" w14:textId="14F01D19"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Iestādes šo vērtību norāda, atņemot </w:t>
            </w:r>
            <w:r>
              <w:rPr>
                <w:rFonts w:ascii="Times New Roman" w:hAnsi="Times New Roman"/>
                <w:i/>
                <w:iCs/>
                <w:sz w:val="24"/>
              </w:rPr>
              <w:t>SA</w:t>
            </w:r>
            <w:r>
              <w:rPr>
                <w:rFonts w:ascii="Times New Roman" w:hAnsi="Times New Roman"/>
                <w:sz w:val="24"/>
              </w:rPr>
              <w:t xml:space="preserve"> riska darījumus, kuros netiek pildītas saistības.</w:t>
            </w:r>
          </w:p>
        </w:tc>
      </w:tr>
      <w:tr w:rsidR="002A54FF" w:rsidRPr="00E75BB8" w14:paraId="0291C492" w14:textId="77777777" w:rsidTr="000B66BC">
        <w:trPr>
          <w:trHeight w:val="71"/>
        </w:trPr>
        <w:tc>
          <w:tcPr>
            <w:tcW w:w="1559" w:type="dxa"/>
            <w:shd w:val="clear" w:color="auto" w:fill="FFFFFF"/>
          </w:tcPr>
          <w:p w14:paraId="5C057F01" w14:textId="210C1BD0"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{0220;0040}</w:t>
            </w:r>
          </w:p>
        </w:tc>
        <w:tc>
          <w:tcPr>
            <w:tcW w:w="7406" w:type="dxa"/>
            <w:shd w:val="clear" w:color="auto" w:fill="FFFFFF"/>
          </w:tcPr>
          <w:p w14:paraId="59E62599" w14:textId="6893B06F"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No kā: Riska darījumi ar privātpersonām un MVU – </w:t>
            </w:r>
            <w:r>
              <w:rPr>
                <w:rFonts w:ascii="Times New Roman" w:hAnsi="Times New Roman"/>
                <w:b/>
                <w:i/>
                <w:iCs/>
                <w:sz w:val="24"/>
              </w:rPr>
              <w:t>RWEA</w:t>
            </w:r>
            <w:r>
              <w:rPr>
                <w:rFonts w:ascii="Times New Roman" w:hAnsi="Times New Roman"/>
                <w:b/>
                <w:sz w:val="24"/>
              </w:rPr>
              <w:t xml:space="preserve"> – IRB riska darījumi</w:t>
            </w:r>
          </w:p>
          <w:p w14:paraId="4092922E" w14:textId="4FF18F2A"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To aktīvu riska darījumu riska svērtā vērtība, kas ir IRB riska darījumi ar privātpersonām un MVU saskaņā ar Regulas (ES) Nr. 575/2013 147. panta 2. punkta d) apakšpunkta i), iii) un iv) punktu, ja šie riska darījumi ir riska darījumi ar maziem un vidējiem uzņēmumiem un nav nodrošināti ar nekustamā īpašuma hipotēku saskaņā ar Regulas (ES) Nr. 575/2013 199. panta 1. punkta a) apakšpunktu.</w:t>
            </w:r>
          </w:p>
          <w:p w14:paraId="51FEC3D4" w14:textId="010E27FC"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sz w:val="24"/>
              </w:rPr>
              <w:t>Termins “mazais un vidējais uzņēmums” šīs šūnas vajadzībām atbilst definīcijai Regulas (ES) Nr. 575/2013 501. panta 2. punkta b) apakšpunktā.</w:t>
            </w:r>
          </w:p>
          <w:p w14:paraId="15449195" w14:textId="06E7A313"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Iestādes šo vērtību norāda, atņemot IRB riska darījumus, kuros netiek pildītas saistības.</w:t>
            </w:r>
          </w:p>
        </w:tc>
      </w:tr>
      <w:tr w:rsidR="002A54FF" w:rsidRPr="00E75BB8" w14:paraId="22E0911F" w14:textId="77777777" w:rsidTr="000B66BC">
        <w:trPr>
          <w:trHeight w:val="71"/>
        </w:trPr>
        <w:tc>
          <w:tcPr>
            <w:tcW w:w="1559" w:type="dxa"/>
            <w:shd w:val="clear" w:color="auto" w:fill="FFFFFF"/>
          </w:tcPr>
          <w:p w14:paraId="2D2EB46F" w14:textId="6C0287C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{0230;0010}</w:t>
            </w:r>
          </w:p>
        </w:tc>
        <w:tc>
          <w:tcPr>
            <w:tcW w:w="7406" w:type="dxa"/>
            <w:shd w:val="clear" w:color="auto" w:fill="FFFFFF"/>
          </w:tcPr>
          <w:p w14:paraId="73CCE449" w14:textId="775C5A7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Komercsabiedrības – Riska darījumu vērtības mērs – </w:t>
            </w:r>
            <w:r>
              <w:rPr>
                <w:rFonts w:ascii="Times New Roman" w:hAnsi="Times New Roman"/>
                <w:b/>
                <w:i/>
                <w:iCs/>
                <w:sz w:val="24"/>
              </w:rPr>
              <w:t>SA</w:t>
            </w:r>
            <w:r>
              <w:rPr>
                <w:rFonts w:ascii="Times New Roman" w:hAnsi="Times New Roman"/>
                <w:b/>
                <w:sz w:val="24"/>
              </w:rPr>
              <w:t xml:space="preserve"> riska darījumi</w:t>
            </w:r>
          </w:p>
          <w:p w14:paraId="4918C822" w14:textId="3B8F07B4"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rPr>
              <w:t>Tā ir {0240,0010} un {0250,0010} summa.</w:t>
            </w:r>
          </w:p>
          <w:p w14:paraId="0E0CFA07" w14:textId="6CB7CDAF"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lastRenderedPageBreak/>
              <w:t xml:space="preserve">Iestādes šo vērtību norāda, atņemot </w:t>
            </w:r>
            <w:r>
              <w:rPr>
                <w:rFonts w:ascii="Times New Roman" w:hAnsi="Times New Roman"/>
                <w:i/>
                <w:iCs/>
                <w:sz w:val="24"/>
              </w:rPr>
              <w:t>SA</w:t>
            </w:r>
            <w:r>
              <w:rPr>
                <w:rFonts w:ascii="Times New Roman" w:hAnsi="Times New Roman"/>
                <w:sz w:val="24"/>
              </w:rPr>
              <w:t xml:space="preserve"> riska darījumus, kuros netiek pildītas saistības.</w:t>
            </w:r>
          </w:p>
        </w:tc>
      </w:tr>
      <w:tr w:rsidR="002A54FF" w:rsidRPr="00E75BB8" w14:paraId="12DD0BFF" w14:textId="77777777" w:rsidTr="000B66BC">
        <w:trPr>
          <w:trHeight w:val="71"/>
        </w:trPr>
        <w:tc>
          <w:tcPr>
            <w:tcW w:w="1559" w:type="dxa"/>
            <w:shd w:val="clear" w:color="auto" w:fill="FFFFFF"/>
          </w:tcPr>
          <w:p w14:paraId="1C2C1D0B" w14:textId="454CE52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{0230;0020}</w:t>
            </w:r>
          </w:p>
        </w:tc>
        <w:tc>
          <w:tcPr>
            <w:tcW w:w="7406" w:type="dxa"/>
            <w:shd w:val="clear" w:color="auto" w:fill="FFFFFF"/>
          </w:tcPr>
          <w:p w14:paraId="6362ED1C" w14:textId="48ECB6BB"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Komercsabiedrības – Sviras rādītāja riska darījuma vērtība – IRB riska darījumi</w:t>
            </w:r>
          </w:p>
          <w:p w14:paraId="3219ACC2" w14:textId="4FF4B098"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Tā ir {0240,0020} un {0250,0020} summa.</w:t>
            </w:r>
          </w:p>
          <w:p w14:paraId="4E2F97BD" w14:textId="057F742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Iestādes šo vērtību norāda, atņemot IRB riska darījumus, kuros netiek pildītas saistības.</w:t>
            </w:r>
          </w:p>
        </w:tc>
      </w:tr>
      <w:tr w:rsidR="002A54FF" w:rsidRPr="00E75BB8" w14:paraId="1AA657CC" w14:textId="77777777" w:rsidTr="000B66BC">
        <w:trPr>
          <w:trHeight w:val="71"/>
        </w:trPr>
        <w:tc>
          <w:tcPr>
            <w:tcW w:w="1559" w:type="dxa"/>
            <w:shd w:val="clear" w:color="auto" w:fill="FFFFFF"/>
          </w:tcPr>
          <w:p w14:paraId="4522036A" w14:textId="1BC453B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{0230;0030}</w:t>
            </w:r>
          </w:p>
        </w:tc>
        <w:tc>
          <w:tcPr>
            <w:tcW w:w="7406" w:type="dxa"/>
            <w:shd w:val="clear" w:color="auto" w:fill="FFFFFF"/>
          </w:tcPr>
          <w:p w14:paraId="44E9C1D0" w14:textId="47E5782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Komercsabiedrības – </w:t>
            </w:r>
            <w:r>
              <w:rPr>
                <w:rFonts w:ascii="Times New Roman" w:hAnsi="Times New Roman"/>
                <w:b/>
                <w:i/>
                <w:iCs/>
                <w:sz w:val="24"/>
              </w:rPr>
              <w:t>RWEA</w:t>
            </w:r>
            <w:r>
              <w:rPr>
                <w:rFonts w:ascii="Times New Roman" w:hAnsi="Times New Roman"/>
                <w:b/>
                <w:sz w:val="24"/>
              </w:rPr>
              <w:t xml:space="preserve"> – </w:t>
            </w:r>
            <w:r>
              <w:rPr>
                <w:rFonts w:ascii="Times New Roman" w:hAnsi="Times New Roman"/>
                <w:b/>
                <w:i/>
                <w:iCs/>
                <w:sz w:val="24"/>
              </w:rPr>
              <w:t>SA</w:t>
            </w:r>
            <w:r>
              <w:rPr>
                <w:rFonts w:ascii="Times New Roman" w:hAnsi="Times New Roman"/>
                <w:b/>
                <w:sz w:val="24"/>
              </w:rPr>
              <w:t xml:space="preserve"> riska darījumi</w:t>
            </w:r>
          </w:p>
          <w:p w14:paraId="327E6857" w14:textId="7197BBC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Tā ir {0240,0030} un {0250,0030} summa.</w:t>
            </w:r>
          </w:p>
          <w:p w14:paraId="730ED24A" w14:textId="291AC1EA"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Iestādes šo vērtību norāda, atņemot </w:t>
            </w:r>
            <w:r>
              <w:rPr>
                <w:rFonts w:ascii="Times New Roman" w:hAnsi="Times New Roman"/>
                <w:i/>
                <w:iCs/>
                <w:sz w:val="24"/>
              </w:rPr>
              <w:t>SA</w:t>
            </w:r>
            <w:r>
              <w:rPr>
                <w:rFonts w:ascii="Times New Roman" w:hAnsi="Times New Roman"/>
                <w:sz w:val="24"/>
              </w:rPr>
              <w:t xml:space="preserve"> riska darījumus, kuros netiek pildītas saistības.</w:t>
            </w:r>
          </w:p>
        </w:tc>
      </w:tr>
      <w:tr w:rsidR="002A54FF" w:rsidRPr="00E75BB8" w14:paraId="0C1B4712" w14:textId="77777777" w:rsidTr="000B66BC">
        <w:trPr>
          <w:trHeight w:val="71"/>
        </w:trPr>
        <w:tc>
          <w:tcPr>
            <w:tcW w:w="1559" w:type="dxa"/>
            <w:shd w:val="clear" w:color="auto" w:fill="FFFFFF"/>
          </w:tcPr>
          <w:p w14:paraId="7A82EAC6" w14:textId="7CFA6BC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{0230;0040}</w:t>
            </w:r>
          </w:p>
        </w:tc>
        <w:tc>
          <w:tcPr>
            <w:tcW w:w="7406" w:type="dxa"/>
            <w:shd w:val="clear" w:color="auto" w:fill="FFFFFF"/>
          </w:tcPr>
          <w:p w14:paraId="0B759A94" w14:textId="0A1DE6F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Komercsabiedrības – </w:t>
            </w:r>
            <w:r>
              <w:rPr>
                <w:rFonts w:ascii="Times New Roman" w:hAnsi="Times New Roman"/>
                <w:b/>
                <w:i/>
                <w:iCs/>
                <w:sz w:val="24"/>
              </w:rPr>
              <w:t>RWEA</w:t>
            </w:r>
            <w:r>
              <w:rPr>
                <w:rFonts w:ascii="Times New Roman" w:hAnsi="Times New Roman"/>
                <w:b/>
                <w:sz w:val="24"/>
              </w:rPr>
              <w:t xml:space="preserve"> – IRB riska darījumi</w:t>
            </w:r>
          </w:p>
          <w:p w14:paraId="1D494120" w14:textId="6A9832C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Tā ir {0240,0040} un {0250,0040} summa.</w:t>
            </w:r>
          </w:p>
          <w:p w14:paraId="1F4A9AA4" w14:textId="53069870"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Iestādes šo vērtību norāda, atņemot IRB riska darījumus, kuros netiek pildītas saistības.</w:t>
            </w:r>
          </w:p>
        </w:tc>
      </w:tr>
      <w:tr w:rsidR="002A54FF" w:rsidRPr="00E75BB8" w14:paraId="5D9FF2D4" w14:textId="77777777" w:rsidTr="000B66BC">
        <w:trPr>
          <w:trHeight w:val="71"/>
        </w:trPr>
        <w:tc>
          <w:tcPr>
            <w:tcW w:w="1559" w:type="dxa"/>
            <w:shd w:val="clear" w:color="auto" w:fill="FFFFFF"/>
          </w:tcPr>
          <w:p w14:paraId="0D822794" w14:textId="69E077E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{0240;0010}</w:t>
            </w:r>
          </w:p>
        </w:tc>
        <w:tc>
          <w:tcPr>
            <w:tcW w:w="7406" w:type="dxa"/>
            <w:shd w:val="clear" w:color="auto" w:fill="FFFFFF"/>
          </w:tcPr>
          <w:p w14:paraId="6E90DECA" w14:textId="3F12F294"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Finanšu komercsabiedrības – Sviras rādītāja riska darījuma vērtība – </w:t>
            </w:r>
            <w:r>
              <w:rPr>
                <w:rFonts w:ascii="Times New Roman" w:hAnsi="Times New Roman"/>
                <w:b/>
                <w:i/>
                <w:iCs/>
                <w:sz w:val="24"/>
              </w:rPr>
              <w:t>SA</w:t>
            </w:r>
            <w:r>
              <w:rPr>
                <w:rFonts w:ascii="Times New Roman" w:hAnsi="Times New Roman"/>
                <w:b/>
                <w:sz w:val="24"/>
              </w:rPr>
              <w:t xml:space="preserve"> riska darījumi</w:t>
            </w:r>
          </w:p>
          <w:p w14:paraId="7CAB4F9A" w14:textId="1720AD57" w:rsidR="008A5C87"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To sviras rādītāja riska darījuma vērtība, kas ir tādi </w:t>
            </w:r>
            <w:r>
              <w:rPr>
                <w:rFonts w:ascii="Times New Roman" w:hAnsi="Times New Roman"/>
                <w:i/>
                <w:iCs/>
                <w:sz w:val="24"/>
              </w:rPr>
              <w:t>SA</w:t>
            </w:r>
            <w:r>
              <w:rPr>
                <w:rFonts w:ascii="Times New Roman" w:hAnsi="Times New Roman"/>
                <w:sz w:val="24"/>
              </w:rPr>
              <w:t xml:space="preserve"> riska darījumi ar finanšu komercsabiedrībām, uz kuriem attiecas Regulas (ES) Nr. 575/2013 122. pants.</w:t>
            </w:r>
          </w:p>
          <w:p w14:paraId="48ACEE9F" w14:textId="5BA69E53"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Pārskata sniegšanas vajadzībām LR4 veidnē finanšu komercsabiedrības ir tādas regulētas un neregulētas sabiedrības, izņemot {0180;0010}, paredzētās iestādes, kuru galvenā uzņēmējdarbība ir līdzdalību iegāde vai vienas vai vairāku tādu darbību veikšana, kuras norādītas Direktīvas 2013/36/ES I pielikumā, kā arī sabiedrības, kas definētas Regulas (ES) Nr. 575/2013 4. panta 1. punkta 27) apakšpunktā, izņemot {0180;0010} paredzētās iestādes. </w:t>
            </w:r>
          </w:p>
          <w:p w14:paraId="34C751F5" w14:textId="603A8953"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Iestādes šo vērtību norāda, atņemot </w:t>
            </w:r>
            <w:r>
              <w:rPr>
                <w:rFonts w:ascii="Times New Roman" w:hAnsi="Times New Roman"/>
                <w:i/>
                <w:iCs/>
                <w:sz w:val="24"/>
              </w:rPr>
              <w:t>SA</w:t>
            </w:r>
            <w:r>
              <w:rPr>
                <w:rFonts w:ascii="Times New Roman" w:hAnsi="Times New Roman"/>
                <w:sz w:val="24"/>
              </w:rPr>
              <w:t xml:space="preserve"> riska darījumus, kuros netiek pildītas saistības.</w:t>
            </w:r>
          </w:p>
        </w:tc>
      </w:tr>
      <w:tr w:rsidR="002A54FF" w:rsidRPr="00E75BB8" w14:paraId="3897B4FD" w14:textId="77777777" w:rsidTr="000B66BC">
        <w:trPr>
          <w:trHeight w:val="71"/>
        </w:trPr>
        <w:tc>
          <w:tcPr>
            <w:tcW w:w="1559" w:type="dxa"/>
            <w:shd w:val="clear" w:color="auto" w:fill="FFFFFF"/>
          </w:tcPr>
          <w:p w14:paraId="5C338C26" w14:textId="03E777A5"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{0240;0020}</w:t>
            </w:r>
          </w:p>
        </w:tc>
        <w:tc>
          <w:tcPr>
            <w:tcW w:w="7406" w:type="dxa"/>
            <w:shd w:val="clear" w:color="auto" w:fill="FFFFFF"/>
          </w:tcPr>
          <w:p w14:paraId="4094858A"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Finanšu komercsabiedrības – Sviras rādītāja riska darījuma vērtība – IRB riska darījumi</w:t>
            </w:r>
          </w:p>
          <w:p w14:paraId="058EB000" w14:textId="0F13A073" w:rsidR="008A5C87"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To aktīvu riska sviras rādītāja riska darījuma vērtība, kas ir IRB riska darījumi ar finanšu komercsabiedrībām saskaņā ar Regulas (ES) Nr. 575/2013 147. panta 2. punkta c) apakšpunktu, ja šie riska darījumi nav </w:t>
            </w:r>
            <w:r>
              <w:rPr>
                <w:rFonts w:ascii="Times New Roman" w:hAnsi="Times New Roman"/>
                <w:sz w:val="24"/>
              </w:rPr>
              <w:lastRenderedPageBreak/>
              <w:t>nodrošināti ar nekustamā īpašuma hipotēku saskaņā ar Regulas (ES) Nr. 575/2013 199. panta 1. punkta a) apakšpunktu.</w:t>
            </w:r>
          </w:p>
          <w:p w14:paraId="07B8C8CE" w14:textId="7EFF1698"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Pārskata sniegšanas vajadzībām LR4 veidnē finanšu komercsabiedrības ir tādas regulētas un neregulētas sabiedrības, izņemot {0180;0010}, paredzētās iestādes, kuru galvenā uzņēmējdarbība ir līdzdalību iegāde vai vienas vai vairāku tādu darbību veikšana, kuras norādītas Direktīvas 2013/36/ES I pielikumā, kā arī sabiedrības, kas definētas Regulas (ES) Nr. 575/2013 4. panta 1. punkta 27) apakšpunktā, izņemot {0180;0010} paredzētās iestādes. </w:t>
            </w:r>
          </w:p>
          <w:p w14:paraId="51655C6D" w14:textId="31474CF4"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Iestādes šo vērtību norāda, atņemot IRB riska darījumus, kuros netiek pildītas saistības.</w:t>
            </w:r>
          </w:p>
        </w:tc>
      </w:tr>
      <w:tr w:rsidR="002A54FF" w:rsidRPr="00E75BB8" w14:paraId="7E381EEB" w14:textId="77777777" w:rsidTr="000B66BC">
        <w:trPr>
          <w:trHeight w:val="71"/>
        </w:trPr>
        <w:tc>
          <w:tcPr>
            <w:tcW w:w="1559" w:type="dxa"/>
            <w:shd w:val="clear" w:color="auto" w:fill="FFFFFF"/>
          </w:tcPr>
          <w:p w14:paraId="2F071D43" w14:textId="5D1456F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{0240;0030}</w:t>
            </w:r>
          </w:p>
        </w:tc>
        <w:tc>
          <w:tcPr>
            <w:tcW w:w="7406" w:type="dxa"/>
            <w:shd w:val="clear" w:color="auto" w:fill="FFFFFF"/>
          </w:tcPr>
          <w:p w14:paraId="3EFA5487" w14:textId="705A4662"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Finanšu komercsabiedrības – </w:t>
            </w:r>
            <w:r>
              <w:rPr>
                <w:rFonts w:ascii="Times New Roman" w:hAnsi="Times New Roman"/>
                <w:b/>
                <w:i/>
                <w:iCs/>
                <w:sz w:val="24"/>
              </w:rPr>
              <w:t>RWEA</w:t>
            </w:r>
            <w:r>
              <w:rPr>
                <w:rFonts w:ascii="Times New Roman" w:hAnsi="Times New Roman"/>
                <w:b/>
                <w:sz w:val="24"/>
              </w:rPr>
              <w:t xml:space="preserve"> – </w:t>
            </w:r>
            <w:r>
              <w:rPr>
                <w:rFonts w:ascii="Times New Roman" w:hAnsi="Times New Roman"/>
                <w:b/>
                <w:i/>
                <w:iCs/>
                <w:sz w:val="24"/>
              </w:rPr>
              <w:t>SA</w:t>
            </w:r>
            <w:r>
              <w:rPr>
                <w:rFonts w:ascii="Times New Roman" w:hAnsi="Times New Roman"/>
                <w:b/>
                <w:sz w:val="24"/>
              </w:rPr>
              <w:t xml:space="preserve"> riska darījumi</w:t>
            </w:r>
          </w:p>
          <w:p w14:paraId="08FF6980" w14:textId="1B12B59D" w:rsidR="008A5C87"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To aktīvu riska darījumu riska svērtā vērtība, kas ir </w:t>
            </w:r>
            <w:r>
              <w:rPr>
                <w:rFonts w:ascii="Times New Roman" w:hAnsi="Times New Roman"/>
                <w:i/>
                <w:iCs/>
                <w:sz w:val="24"/>
              </w:rPr>
              <w:t>SA</w:t>
            </w:r>
            <w:r>
              <w:rPr>
                <w:rFonts w:ascii="Times New Roman" w:hAnsi="Times New Roman"/>
                <w:sz w:val="24"/>
              </w:rPr>
              <w:t xml:space="preserve"> riska darījumi ar finanšu komercsabiedrībām, uz kuriem attiecas Regulas (ES) Nr. 575/2013 122. pants.</w:t>
            </w:r>
          </w:p>
          <w:p w14:paraId="4DE325F6" w14:textId="37CE0D32"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Pārskata sniegšanas vajadzībām LR4 veidnē finanšu komercsabiedrības ir tādas regulētas un neregulētas sabiedrības, izņemot {0180;0010}, paredzētās iestādes, kuru galvenā uzņēmējdarbība ir līdzdalību iegāde vai vienas vai vairāku tādu darbību veikšana, kuras norādītas Direktīvas 2013/36/ES I pielikumā, kā arī sabiedrības, kas definētas Regulas (ES) Nr. 575/2013 4. panta 1. punkta 27) apakšpunktā, izņemot {0180;0010} paredzētās iestādes. </w:t>
            </w:r>
          </w:p>
          <w:p w14:paraId="6B38D45F" w14:textId="591397C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Iestādes šo vērtību norāda, atņemot </w:t>
            </w:r>
            <w:r>
              <w:rPr>
                <w:rFonts w:ascii="Times New Roman" w:hAnsi="Times New Roman"/>
                <w:i/>
                <w:iCs/>
                <w:sz w:val="24"/>
              </w:rPr>
              <w:t>SA</w:t>
            </w:r>
            <w:r>
              <w:rPr>
                <w:rFonts w:ascii="Times New Roman" w:hAnsi="Times New Roman"/>
                <w:sz w:val="24"/>
              </w:rPr>
              <w:t xml:space="preserve"> riska darījumus, kuros netiek pildītas saistības.</w:t>
            </w:r>
          </w:p>
        </w:tc>
      </w:tr>
      <w:tr w:rsidR="002A54FF" w:rsidRPr="00E75BB8" w14:paraId="7E13A8B7" w14:textId="77777777" w:rsidTr="000B66BC">
        <w:trPr>
          <w:trHeight w:val="71"/>
        </w:trPr>
        <w:tc>
          <w:tcPr>
            <w:tcW w:w="1559" w:type="dxa"/>
            <w:shd w:val="clear" w:color="auto" w:fill="FFFFFF"/>
          </w:tcPr>
          <w:p w14:paraId="4A07187A" w14:textId="59A5E646"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{0240;0040}</w:t>
            </w:r>
          </w:p>
        </w:tc>
        <w:tc>
          <w:tcPr>
            <w:tcW w:w="7406" w:type="dxa"/>
            <w:shd w:val="clear" w:color="auto" w:fill="FFFFFF"/>
          </w:tcPr>
          <w:p w14:paraId="0D42EAF2" w14:textId="4C7FF3CE"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Finanšu komercsabiedrības – </w:t>
            </w:r>
            <w:r>
              <w:rPr>
                <w:rFonts w:ascii="Times New Roman" w:hAnsi="Times New Roman"/>
                <w:b/>
                <w:i/>
                <w:iCs/>
                <w:sz w:val="24"/>
              </w:rPr>
              <w:t>RWEA</w:t>
            </w:r>
            <w:r>
              <w:rPr>
                <w:rFonts w:ascii="Times New Roman" w:hAnsi="Times New Roman"/>
                <w:b/>
                <w:sz w:val="24"/>
              </w:rPr>
              <w:t xml:space="preserve"> – IRB riska darījumi</w:t>
            </w:r>
          </w:p>
          <w:p w14:paraId="2E63CDE0" w14:textId="17E55BEE" w:rsidR="008A5C87"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To aktīvu riska darījumu vērtības mērs, kas ir IRB riska darījumi ar finanšu komercsabiedrībām saskaņā ar Regulas (ES) Nr. 575/2013 147. panta 2. punkta c) apakšpunktu, ja šie riska darījumi nav nodrošināti ar nekustamā īpašuma hipotēku saskaņā ar Regulas (ES) Nr. 575/2013 199. panta 1. punkta a) apakšpunktu.</w:t>
            </w:r>
          </w:p>
          <w:p w14:paraId="717CB3D1" w14:textId="55046D1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Pārskata sniegšanas vajadzībām LR4 veidnē finanšu komercsabiedrības ir tādas regulētas un neregulētas sabiedrības, izņemot {0180;0010}, paredzētās iestādes, kuru galvenā uzņēmējdarbība ir līdzdalību iegāde vai vienas vai vairāku tādu darbību veikšana, kuras norādītas Direktīvas 2013/36/ES I pielikumā, kā arī sabiedrības, kas definētas Regulas (ES) Nr. 575/2013 4. panta 1. punkta 27) apakšpunktā, izņemot {0180;0010} paredzētās iestādes.</w:t>
            </w:r>
          </w:p>
          <w:p w14:paraId="46CE9414" w14:textId="0957AC2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Iestādes šo vērtību norāda, atņemot IRB riska darījumus, kuros netiek pildītas saistības.</w:t>
            </w:r>
          </w:p>
        </w:tc>
      </w:tr>
      <w:tr w:rsidR="002A54FF" w:rsidRPr="00E75BB8" w14:paraId="1D9775DE" w14:textId="77777777" w:rsidTr="000B66BC">
        <w:trPr>
          <w:trHeight w:val="71"/>
        </w:trPr>
        <w:tc>
          <w:tcPr>
            <w:tcW w:w="1559" w:type="dxa"/>
            <w:shd w:val="clear" w:color="auto" w:fill="FFFFFF"/>
          </w:tcPr>
          <w:p w14:paraId="533C726F" w14:textId="47DF85C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{0250;0010}</w:t>
            </w:r>
          </w:p>
        </w:tc>
        <w:tc>
          <w:tcPr>
            <w:tcW w:w="7406" w:type="dxa"/>
            <w:shd w:val="clear" w:color="auto" w:fill="FFFFFF"/>
          </w:tcPr>
          <w:p w14:paraId="50FEF333" w14:textId="081F5C0C" w:rsidR="00F4754B" w:rsidRPr="000B66BC" w:rsidRDefault="00CD1DA1" w:rsidP="000B66BC">
            <w:pPr>
              <w:pStyle w:val="BodyText1"/>
              <w:spacing w:after="240" w:line="240" w:lineRule="auto"/>
              <w:rPr>
                <w:rFonts w:ascii="Times New Roman" w:hAnsi="Times New Roman"/>
                <w:b/>
                <w:bCs/>
                <w:sz w:val="24"/>
                <w:szCs w:val="24"/>
              </w:rPr>
            </w:pPr>
            <w:proofErr w:type="spellStart"/>
            <w:r>
              <w:rPr>
                <w:rFonts w:ascii="Times New Roman" w:hAnsi="Times New Roman"/>
                <w:b/>
                <w:sz w:val="24"/>
              </w:rPr>
              <w:t>Nefinanšu</w:t>
            </w:r>
            <w:proofErr w:type="spellEnd"/>
            <w:r>
              <w:rPr>
                <w:rFonts w:ascii="Times New Roman" w:hAnsi="Times New Roman"/>
                <w:b/>
                <w:sz w:val="24"/>
              </w:rPr>
              <w:t xml:space="preserve"> komercsabiedrības – Sviras rādītāja riska darījuma vērtība – </w:t>
            </w:r>
            <w:r>
              <w:rPr>
                <w:rFonts w:ascii="Times New Roman" w:hAnsi="Times New Roman"/>
                <w:b/>
                <w:i/>
                <w:iCs/>
                <w:sz w:val="24"/>
              </w:rPr>
              <w:t>SA</w:t>
            </w:r>
            <w:r>
              <w:rPr>
                <w:rFonts w:ascii="Times New Roman" w:hAnsi="Times New Roman"/>
                <w:b/>
                <w:sz w:val="24"/>
              </w:rPr>
              <w:t xml:space="preserve"> riska darījumi</w:t>
            </w:r>
          </w:p>
          <w:p w14:paraId="79750DB3" w14:textId="25D9C49A"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To aktīvu sviras rādītāja riska darījuma vērtība, kas ir tādi </w:t>
            </w:r>
            <w:r>
              <w:rPr>
                <w:rFonts w:ascii="Times New Roman" w:hAnsi="Times New Roman"/>
                <w:i/>
                <w:iCs/>
                <w:sz w:val="24"/>
              </w:rPr>
              <w:t>SA</w:t>
            </w:r>
            <w:r>
              <w:rPr>
                <w:rFonts w:ascii="Times New Roman" w:hAnsi="Times New Roman"/>
                <w:sz w:val="24"/>
              </w:rPr>
              <w:t xml:space="preserve"> riska darījumi ar </w:t>
            </w:r>
            <w:proofErr w:type="spellStart"/>
            <w:r>
              <w:rPr>
                <w:rFonts w:ascii="Times New Roman" w:hAnsi="Times New Roman"/>
                <w:sz w:val="24"/>
              </w:rPr>
              <w:t>nefinanšu</w:t>
            </w:r>
            <w:proofErr w:type="spellEnd"/>
            <w:r>
              <w:rPr>
                <w:rFonts w:ascii="Times New Roman" w:hAnsi="Times New Roman"/>
                <w:sz w:val="24"/>
              </w:rPr>
              <w:t xml:space="preserve"> komercsabiedrībām, uz kuriem attiecas Regulas (ES) Nr. 575/2013 122. pants.</w:t>
            </w:r>
          </w:p>
          <w:p w14:paraId="1A9B7F32" w14:textId="42798EB9"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Tā ir {0260,0010} un {0270,0010} summa.</w:t>
            </w:r>
          </w:p>
          <w:p w14:paraId="69CDF75C" w14:textId="4C652EE4"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Iestādes šo vērtību norāda, atņemot </w:t>
            </w:r>
            <w:r>
              <w:rPr>
                <w:rFonts w:ascii="Times New Roman" w:hAnsi="Times New Roman"/>
                <w:i/>
                <w:iCs/>
                <w:sz w:val="24"/>
              </w:rPr>
              <w:t>SA</w:t>
            </w:r>
            <w:r>
              <w:rPr>
                <w:rFonts w:ascii="Times New Roman" w:hAnsi="Times New Roman"/>
                <w:sz w:val="24"/>
              </w:rPr>
              <w:t xml:space="preserve"> riska darījumus, kuros netiek pildītas saistības.</w:t>
            </w:r>
          </w:p>
        </w:tc>
      </w:tr>
      <w:tr w:rsidR="002A54FF" w:rsidRPr="00E75BB8" w14:paraId="47291240" w14:textId="77777777" w:rsidTr="000B66BC">
        <w:trPr>
          <w:trHeight w:val="71"/>
        </w:trPr>
        <w:tc>
          <w:tcPr>
            <w:tcW w:w="1559" w:type="dxa"/>
            <w:shd w:val="clear" w:color="auto" w:fill="FFFFFF"/>
          </w:tcPr>
          <w:p w14:paraId="56917946" w14:textId="5C76670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{0250;0020}</w:t>
            </w:r>
          </w:p>
        </w:tc>
        <w:tc>
          <w:tcPr>
            <w:tcW w:w="7406" w:type="dxa"/>
            <w:shd w:val="clear" w:color="auto" w:fill="FFFFFF"/>
          </w:tcPr>
          <w:p w14:paraId="25E6520A" w14:textId="3CB20ED1" w:rsidR="00F4754B" w:rsidRPr="000B66BC" w:rsidRDefault="00CD1DA1" w:rsidP="000B66BC">
            <w:pPr>
              <w:pStyle w:val="BodyText1"/>
              <w:spacing w:after="240" w:line="240" w:lineRule="auto"/>
              <w:rPr>
                <w:rFonts w:ascii="Times New Roman" w:hAnsi="Times New Roman"/>
                <w:b/>
                <w:bCs/>
                <w:sz w:val="24"/>
                <w:szCs w:val="24"/>
              </w:rPr>
            </w:pPr>
            <w:proofErr w:type="spellStart"/>
            <w:r>
              <w:rPr>
                <w:rFonts w:ascii="Times New Roman" w:hAnsi="Times New Roman"/>
                <w:b/>
                <w:sz w:val="24"/>
              </w:rPr>
              <w:t>Nefinanšu</w:t>
            </w:r>
            <w:proofErr w:type="spellEnd"/>
            <w:r>
              <w:rPr>
                <w:rFonts w:ascii="Times New Roman" w:hAnsi="Times New Roman"/>
                <w:b/>
                <w:sz w:val="24"/>
              </w:rPr>
              <w:t xml:space="preserve"> komercsabiedrības – Sviras rādītāja riska darījuma vērtība – IRB riska darījumi</w:t>
            </w:r>
          </w:p>
          <w:p w14:paraId="1615C090" w14:textId="04C77CB2" w:rsidR="00BE6AC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To sviras rādītāja riska darījuma vērtība, kas ir IRB riska darījumi ar </w:t>
            </w:r>
            <w:proofErr w:type="spellStart"/>
            <w:r>
              <w:rPr>
                <w:rFonts w:ascii="Times New Roman" w:hAnsi="Times New Roman"/>
                <w:sz w:val="24"/>
              </w:rPr>
              <w:t>nefinanšu</w:t>
            </w:r>
            <w:proofErr w:type="spellEnd"/>
            <w:r>
              <w:rPr>
                <w:rFonts w:ascii="Times New Roman" w:hAnsi="Times New Roman"/>
                <w:sz w:val="24"/>
              </w:rPr>
              <w:t xml:space="preserve"> komercsabiedrībām saskaņā ar Regulas (ES) Nr. 575/2013 147. panta 2. punkta c) apakšpunktu, ja šie riska darījumi nav nodrošināti ar nekustamā īpašuma hipotēku saskaņā ar Regulas (ES) Nr. 575/2013 199. panta 1. punkta a) apakšpunktu.</w:t>
            </w:r>
          </w:p>
          <w:p w14:paraId="5B891D71" w14:textId="425CD8A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Tā ir {0260,0020} un {0270,0020} summa.</w:t>
            </w:r>
          </w:p>
          <w:p w14:paraId="4A94BD25" w14:textId="7EF0446C"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Iestādes šo vērtību norāda, atņemot IRB riska darījumus, kuros netiek pildītas saistības.</w:t>
            </w:r>
          </w:p>
        </w:tc>
      </w:tr>
      <w:tr w:rsidR="002A54FF" w:rsidRPr="00E75BB8" w14:paraId="1569EBB2" w14:textId="77777777" w:rsidTr="000B66BC">
        <w:trPr>
          <w:trHeight w:val="71"/>
        </w:trPr>
        <w:tc>
          <w:tcPr>
            <w:tcW w:w="1559" w:type="dxa"/>
            <w:shd w:val="clear" w:color="auto" w:fill="FFFFFF"/>
          </w:tcPr>
          <w:p w14:paraId="0DAE0AFA" w14:textId="313B4AD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{0250;0030}</w:t>
            </w:r>
          </w:p>
        </w:tc>
        <w:tc>
          <w:tcPr>
            <w:tcW w:w="7406" w:type="dxa"/>
            <w:shd w:val="clear" w:color="auto" w:fill="FFFFFF"/>
          </w:tcPr>
          <w:p w14:paraId="68E7D79C" w14:textId="33D6CD05" w:rsidR="00F4754B" w:rsidRPr="000B66BC" w:rsidRDefault="00CD1DA1" w:rsidP="000B66BC">
            <w:pPr>
              <w:pStyle w:val="BodyText1"/>
              <w:spacing w:after="240" w:line="240" w:lineRule="auto"/>
              <w:rPr>
                <w:rFonts w:ascii="Times New Roman" w:hAnsi="Times New Roman"/>
                <w:b/>
                <w:bCs/>
                <w:sz w:val="24"/>
                <w:szCs w:val="24"/>
              </w:rPr>
            </w:pPr>
            <w:proofErr w:type="spellStart"/>
            <w:r>
              <w:rPr>
                <w:rFonts w:ascii="Times New Roman" w:hAnsi="Times New Roman"/>
                <w:b/>
                <w:sz w:val="24"/>
              </w:rPr>
              <w:t>Nefinanšu</w:t>
            </w:r>
            <w:proofErr w:type="spellEnd"/>
            <w:r>
              <w:rPr>
                <w:rFonts w:ascii="Times New Roman" w:hAnsi="Times New Roman"/>
                <w:b/>
                <w:sz w:val="24"/>
              </w:rPr>
              <w:t xml:space="preserve"> komercsabiedrības – </w:t>
            </w:r>
            <w:r>
              <w:rPr>
                <w:rFonts w:ascii="Times New Roman" w:hAnsi="Times New Roman"/>
                <w:b/>
                <w:i/>
                <w:iCs/>
                <w:sz w:val="24"/>
              </w:rPr>
              <w:t>RWEA</w:t>
            </w:r>
            <w:r>
              <w:rPr>
                <w:rFonts w:ascii="Times New Roman" w:hAnsi="Times New Roman"/>
                <w:b/>
                <w:sz w:val="24"/>
              </w:rPr>
              <w:t xml:space="preserve"> –</w:t>
            </w:r>
            <w:r>
              <w:rPr>
                <w:rFonts w:ascii="Times New Roman" w:hAnsi="Times New Roman"/>
                <w:b/>
                <w:i/>
                <w:iCs/>
                <w:sz w:val="24"/>
              </w:rPr>
              <w:t xml:space="preserve"> SA</w:t>
            </w:r>
            <w:r>
              <w:rPr>
                <w:rFonts w:ascii="Times New Roman" w:hAnsi="Times New Roman"/>
                <w:b/>
                <w:sz w:val="24"/>
              </w:rPr>
              <w:t xml:space="preserve"> riska darījumi</w:t>
            </w:r>
          </w:p>
          <w:p w14:paraId="49E48609" w14:textId="74077D5F"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To aktīvu riska darījumu riska svērtā vērtība, kas ir </w:t>
            </w:r>
            <w:r>
              <w:rPr>
                <w:rFonts w:ascii="Times New Roman" w:hAnsi="Times New Roman"/>
                <w:i/>
                <w:iCs/>
                <w:sz w:val="24"/>
              </w:rPr>
              <w:t>SA</w:t>
            </w:r>
            <w:r>
              <w:rPr>
                <w:rFonts w:ascii="Times New Roman" w:hAnsi="Times New Roman"/>
                <w:sz w:val="24"/>
              </w:rPr>
              <w:t xml:space="preserve"> riska darījumi ar </w:t>
            </w:r>
            <w:proofErr w:type="spellStart"/>
            <w:r>
              <w:rPr>
                <w:rFonts w:ascii="Times New Roman" w:hAnsi="Times New Roman"/>
                <w:sz w:val="24"/>
              </w:rPr>
              <w:t>nefinanšu</w:t>
            </w:r>
            <w:proofErr w:type="spellEnd"/>
            <w:r>
              <w:rPr>
                <w:rFonts w:ascii="Times New Roman" w:hAnsi="Times New Roman"/>
                <w:sz w:val="24"/>
              </w:rPr>
              <w:t xml:space="preserve"> komercsabiedrībām un uz kuriem attiecas Regulas (ES) Nr. 575/2013 122. pants.</w:t>
            </w:r>
          </w:p>
          <w:p w14:paraId="11F55E3D" w14:textId="2D4C4F8A"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Tā ir {0260,0030} un {0270,0030} summa.</w:t>
            </w:r>
          </w:p>
          <w:p w14:paraId="153E6308" w14:textId="63943BB8" w:rsidR="002509B1" w:rsidRPr="000B66BC" w:rsidDel="00504CFF"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Iestādes šo vērtību norāda, atņemot </w:t>
            </w:r>
            <w:r>
              <w:rPr>
                <w:rFonts w:ascii="Times New Roman" w:hAnsi="Times New Roman"/>
                <w:i/>
                <w:iCs/>
                <w:sz w:val="24"/>
              </w:rPr>
              <w:t>SA</w:t>
            </w:r>
            <w:r>
              <w:rPr>
                <w:rFonts w:ascii="Times New Roman" w:hAnsi="Times New Roman"/>
                <w:sz w:val="24"/>
              </w:rPr>
              <w:t xml:space="preserve"> riska darījumus, kuros netiek pildītas saistības.</w:t>
            </w:r>
          </w:p>
        </w:tc>
      </w:tr>
      <w:tr w:rsidR="002A54FF" w:rsidRPr="00E75BB8" w14:paraId="727F0C04" w14:textId="77777777" w:rsidTr="000B66BC">
        <w:trPr>
          <w:trHeight w:val="71"/>
        </w:trPr>
        <w:tc>
          <w:tcPr>
            <w:tcW w:w="1559" w:type="dxa"/>
            <w:shd w:val="clear" w:color="auto" w:fill="FFFFFF"/>
          </w:tcPr>
          <w:p w14:paraId="1B83D193" w14:textId="5070868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{0250;0040}</w:t>
            </w:r>
          </w:p>
        </w:tc>
        <w:tc>
          <w:tcPr>
            <w:tcW w:w="7406" w:type="dxa"/>
            <w:shd w:val="clear" w:color="auto" w:fill="FFFFFF"/>
          </w:tcPr>
          <w:p w14:paraId="2B0BB9F0" w14:textId="041EA5D1" w:rsidR="00F4754B" w:rsidRPr="000B66BC" w:rsidRDefault="00CD1DA1" w:rsidP="000B66BC">
            <w:pPr>
              <w:pStyle w:val="BodyText1"/>
              <w:spacing w:after="240" w:line="240" w:lineRule="auto"/>
              <w:rPr>
                <w:rFonts w:ascii="Times New Roman" w:hAnsi="Times New Roman"/>
                <w:b/>
                <w:bCs/>
                <w:sz w:val="24"/>
                <w:szCs w:val="24"/>
              </w:rPr>
            </w:pPr>
            <w:proofErr w:type="spellStart"/>
            <w:r>
              <w:rPr>
                <w:rFonts w:ascii="Times New Roman" w:hAnsi="Times New Roman"/>
                <w:b/>
                <w:sz w:val="24"/>
              </w:rPr>
              <w:t>Nefinanšu</w:t>
            </w:r>
            <w:proofErr w:type="spellEnd"/>
            <w:r>
              <w:rPr>
                <w:rFonts w:ascii="Times New Roman" w:hAnsi="Times New Roman"/>
                <w:b/>
                <w:sz w:val="24"/>
              </w:rPr>
              <w:t xml:space="preserve"> komercsabiedrības – </w:t>
            </w:r>
            <w:r>
              <w:rPr>
                <w:rFonts w:ascii="Times New Roman" w:hAnsi="Times New Roman"/>
                <w:b/>
                <w:i/>
                <w:iCs/>
                <w:sz w:val="24"/>
              </w:rPr>
              <w:t>RWEA</w:t>
            </w:r>
            <w:r>
              <w:rPr>
                <w:rFonts w:ascii="Times New Roman" w:hAnsi="Times New Roman"/>
                <w:b/>
                <w:sz w:val="24"/>
              </w:rPr>
              <w:t xml:space="preserve"> – IRB riska darījumi</w:t>
            </w:r>
          </w:p>
          <w:p w14:paraId="4DD9CC03" w14:textId="609E2BFE"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To aktīvu riska darījumu riska svērtā vērtība, kas ir IRB riska darījumi ar </w:t>
            </w:r>
            <w:proofErr w:type="spellStart"/>
            <w:r>
              <w:rPr>
                <w:rFonts w:ascii="Times New Roman" w:hAnsi="Times New Roman"/>
                <w:sz w:val="24"/>
              </w:rPr>
              <w:t>nefinanšu</w:t>
            </w:r>
            <w:proofErr w:type="spellEnd"/>
            <w:r>
              <w:rPr>
                <w:rFonts w:ascii="Times New Roman" w:hAnsi="Times New Roman"/>
                <w:sz w:val="24"/>
              </w:rPr>
              <w:t xml:space="preserve"> komercsabiedrībām saskaņā ar Regulas (ES) Nr. 575/2013 147. panta 2. punkta c) apakšpunktu, ja šie riska darījumi nav nodrošināti ar nekustamā īpašuma hipotēku saskaņā ar Regulas (ES) Nr. 575/2013 199. panta 1. punkta a) apakšpunktu.</w:t>
            </w:r>
          </w:p>
          <w:p w14:paraId="072F6C8B" w14:textId="7E5B0C7D"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Tā ir {0260,0040} un {0270,0040} summa.</w:t>
            </w:r>
          </w:p>
          <w:p w14:paraId="2B36DB12" w14:textId="48954611" w:rsidR="002509B1" w:rsidRPr="000B66BC" w:rsidDel="00504CFF"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Iestādes šo vērtību norāda, atņemot IRB riska darījumus, kuros netiek pildītas saistības.</w:t>
            </w:r>
          </w:p>
        </w:tc>
      </w:tr>
      <w:tr w:rsidR="002A54FF" w:rsidRPr="00E75BB8" w14:paraId="49E58870" w14:textId="77777777" w:rsidTr="000B66BC">
        <w:trPr>
          <w:trHeight w:val="71"/>
        </w:trPr>
        <w:tc>
          <w:tcPr>
            <w:tcW w:w="1559" w:type="dxa"/>
            <w:shd w:val="clear" w:color="auto" w:fill="FFFFFF"/>
          </w:tcPr>
          <w:p w14:paraId="0EFCE46D" w14:textId="4434901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{0260;0010}</w:t>
            </w:r>
          </w:p>
        </w:tc>
        <w:tc>
          <w:tcPr>
            <w:tcW w:w="7406" w:type="dxa"/>
            <w:shd w:val="clear" w:color="auto" w:fill="FFFFFF"/>
          </w:tcPr>
          <w:p w14:paraId="16D3DD87"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 xml:space="preserve">Riska darījumi ar MVU – Sviras rādītāja riska darījuma vērtība – </w:t>
            </w:r>
            <w:r>
              <w:rPr>
                <w:rFonts w:ascii="Times New Roman" w:hAnsi="Times New Roman"/>
                <w:b/>
                <w:i/>
                <w:iCs/>
                <w:sz w:val="24"/>
              </w:rPr>
              <w:t>SA</w:t>
            </w:r>
            <w:r>
              <w:rPr>
                <w:rFonts w:ascii="Times New Roman" w:hAnsi="Times New Roman"/>
                <w:b/>
                <w:sz w:val="24"/>
              </w:rPr>
              <w:t xml:space="preserve"> riska darījumi</w:t>
            </w:r>
          </w:p>
          <w:p w14:paraId="1237A324" w14:textId="2F0A86F1"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To aktīvu sviras rādītāja riska darījuma vērtība, kas ir tādi </w:t>
            </w:r>
            <w:r>
              <w:rPr>
                <w:rFonts w:ascii="Times New Roman" w:hAnsi="Times New Roman"/>
                <w:i/>
                <w:iCs/>
                <w:sz w:val="24"/>
              </w:rPr>
              <w:t>SA</w:t>
            </w:r>
            <w:r>
              <w:rPr>
                <w:rFonts w:ascii="Times New Roman" w:hAnsi="Times New Roman"/>
                <w:sz w:val="24"/>
              </w:rPr>
              <w:t xml:space="preserve"> riska darījumi ar komercsabiedrībām, kas ir mazi un vidējie uzņēmumi, uz kuriem attiecas Regulas (ES) Nr. 575/2013 122. pants.</w:t>
            </w:r>
          </w:p>
          <w:p w14:paraId="5E29251B" w14:textId="41E792F5" w:rsidR="00086A8A"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sz w:val="24"/>
              </w:rPr>
              <w:t>Termins “mazais un vidējais uzņēmums” šīs šūnas vajadzībām atbilst definīcijai Regulas (ES) Nr. 575/2013 501. panta 2. punkta b) apakšpunktā.</w:t>
            </w:r>
          </w:p>
          <w:p w14:paraId="5FAEA464" w14:textId="7B77BBC5"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 xml:space="preserve">Iestādes šo vērtību norāda, atņemot </w:t>
            </w:r>
            <w:r>
              <w:rPr>
                <w:rFonts w:ascii="Times New Roman" w:hAnsi="Times New Roman"/>
                <w:i/>
                <w:iCs/>
                <w:sz w:val="24"/>
              </w:rPr>
              <w:t>SA</w:t>
            </w:r>
            <w:r>
              <w:rPr>
                <w:rFonts w:ascii="Times New Roman" w:hAnsi="Times New Roman"/>
                <w:sz w:val="24"/>
              </w:rPr>
              <w:t xml:space="preserve"> riska darījumus, kuros netiek pildītas saistības.</w:t>
            </w:r>
          </w:p>
        </w:tc>
      </w:tr>
      <w:tr w:rsidR="002A54FF" w:rsidRPr="00E75BB8" w14:paraId="13131DF5" w14:textId="77777777" w:rsidTr="000B66BC">
        <w:trPr>
          <w:trHeight w:val="71"/>
        </w:trPr>
        <w:tc>
          <w:tcPr>
            <w:tcW w:w="1559" w:type="dxa"/>
            <w:shd w:val="clear" w:color="auto" w:fill="FFFFFF"/>
          </w:tcPr>
          <w:p w14:paraId="05B0110D" w14:textId="74C0B697"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{0260;0020}</w:t>
            </w:r>
          </w:p>
        </w:tc>
        <w:tc>
          <w:tcPr>
            <w:tcW w:w="7406" w:type="dxa"/>
            <w:shd w:val="clear" w:color="auto" w:fill="FFFFFF"/>
          </w:tcPr>
          <w:p w14:paraId="4E8AC377"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Riska darījumi ar MVU – sviras rādītāja riska darījuma vērtība – IRB riska darījumi</w:t>
            </w:r>
          </w:p>
          <w:p w14:paraId="16526905" w14:textId="7BC27B48"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To aktīvu riska darījumu vērtības mērs, kas ir IRB riska darījumi ar komercsabiedrībām saskaņā ar Regulas (ES) Nr. 575/2013 147. panta 2. punkta c) apakšpunktu, ja šie riska darījumi ir riska darījumi ar maziem un vidējiem uzņēmumiem un nav nodrošināti ar nekustamā īpašuma hipotēku saskaņā ar Regulas (ES) Nr. 575/2013 199. panta 1. punkta a) apakšpunktu.</w:t>
            </w:r>
          </w:p>
          <w:p w14:paraId="729394D8" w14:textId="6F0084BF" w:rsidR="002509B1" w:rsidRPr="000B66BC" w:rsidRDefault="004F39F5" w:rsidP="000B66BC">
            <w:pPr>
              <w:pStyle w:val="BodyText1"/>
              <w:spacing w:after="240" w:line="240" w:lineRule="auto"/>
              <w:rPr>
                <w:rFonts w:ascii="Times New Roman" w:hAnsi="Times New Roman"/>
                <w:b/>
                <w:bCs/>
                <w:sz w:val="24"/>
                <w:szCs w:val="24"/>
                <w:u w:val="single"/>
              </w:rPr>
            </w:pPr>
            <w:r>
              <w:rPr>
                <w:rFonts w:ascii="Times New Roman" w:hAnsi="Times New Roman"/>
                <w:sz w:val="24"/>
              </w:rPr>
              <w:t>Termins “mazais un vidējais uzņēmums” šīs šūnas vajadzībām atbilst definīcijai Regulas (ES) Nr. 575/2013 501. panta 2. punkta b) apakšpunktā.</w:t>
            </w:r>
          </w:p>
          <w:p w14:paraId="542463BD" w14:textId="165C2619" w:rsidR="009C4E79" w:rsidRPr="000B66BC" w:rsidDel="00504CFF"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Iestādes šo vērtību norāda, atņemot IRB riska darījumus, kuros netiek pildītas saistības.</w:t>
            </w:r>
          </w:p>
        </w:tc>
      </w:tr>
      <w:tr w:rsidR="002A54FF" w:rsidRPr="00E75BB8" w14:paraId="50044CAE" w14:textId="77777777" w:rsidTr="000B66BC">
        <w:trPr>
          <w:trHeight w:val="71"/>
        </w:trPr>
        <w:tc>
          <w:tcPr>
            <w:tcW w:w="1559" w:type="dxa"/>
            <w:shd w:val="clear" w:color="auto" w:fill="FFFFFF"/>
          </w:tcPr>
          <w:p w14:paraId="5F7100BE" w14:textId="2ACB4AD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{0260;0030}</w:t>
            </w:r>
          </w:p>
        </w:tc>
        <w:tc>
          <w:tcPr>
            <w:tcW w:w="7406" w:type="dxa"/>
            <w:shd w:val="clear" w:color="auto" w:fill="FFFFFF"/>
          </w:tcPr>
          <w:p w14:paraId="0D365078" w14:textId="540263EE"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Riska darījumi ar MVU – </w:t>
            </w:r>
            <w:r>
              <w:rPr>
                <w:rFonts w:ascii="Times New Roman" w:hAnsi="Times New Roman"/>
                <w:b/>
                <w:i/>
                <w:iCs/>
                <w:sz w:val="24"/>
              </w:rPr>
              <w:t>RWEA</w:t>
            </w:r>
            <w:r>
              <w:rPr>
                <w:rFonts w:ascii="Times New Roman" w:hAnsi="Times New Roman"/>
                <w:b/>
                <w:sz w:val="24"/>
              </w:rPr>
              <w:t xml:space="preserve"> – </w:t>
            </w:r>
            <w:r>
              <w:rPr>
                <w:rFonts w:ascii="Times New Roman" w:hAnsi="Times New Roman"/>
                <w:b/>
                <w:i/>
                <w:iCs/>
                <w:sz w:val="24"/>
              </w:rPr>
              <w:t>SA</w:t>
            </w:r>
            <w:r>
              <w:rPr>
                <w:rFonts w:ascii="Times New Roman" w:hAnsi="Times New Roman"/>
                <w:b/>
                <w:sz w:val="24"/>
              </w:rPr>
              <w:t xml:space="preserve"> riska darījumi</w:t>
            </w:r>
          </w:p>
          <w:p w14:paraId="47967B81" w14:textId="01F17C84"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To aktīvu riska darījumu riska svērtā vērtība, kas ir tādi SA riska darījumi ar komercsabiedrībām, kas ir mazi un vidējie uzņēmumi, uz kuriem attiecas Regulas (ES) Nr. 575/2013 122. pants.</w:t>
            </w:r>
          </w:p>
          <w:p w14:paraId="4E35047C" w14:textId="28428170" w:rsidR="00086A8A"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sz w:val="24"/>
              </w:rPr>
              <w:t>Termins “mazais un vidējais uzņēmums” šīs šūnas vajadzībām atbilst definīcijai Regulas (ES) Nr. 575/2013 501. panta 2. punkta b) apakšpunktā.</w:t>
            </w:r>
          </w:p>
          <w:p w14:paraId="2B25463D" w14:textId="56CC7FB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Iestādes šo vērtību norāda, atņemot </w:t>
            </w:r>
            <w:r>
              <w:rPr>
                <w:rFonts w:ascii="Times New Roman" w:hAnsi="Times New Roman"/>
                <w:i/>
                <w:iCs/>
                <w:sz w:val="24"/>
              </w:rPr>
              <w:t>SA</w:t>
            </w:r>
            <w:r>
              <w:rPr>
                <w:rFonts w:ascii="Times New Roman" w:hAnsi="Times New Roman"/>
                <w:sz w:val="24"/>
              </w:rPr>
              <w:t xml:space="preserve"> riska darījumus, kuros netiek pildītas saistības.</w:t>
            </w:r>
          </w:p>
        </w:tc>
      </w:tr>
      <w:tr w:rsidR="002A54FF" w:rsidRPr="00E75BB8" w14:paraId="3DB0057C" w14:textId="77777777" w:rsidTr="000B66BC">
        <w:trPr>
          <w:trHeight w:val="71"/>
        </w:trPr>
        <w:tc>
          <w:tcPr>
            <w:tcW w:w="1559" w:type="dxa"/>
            <w:shd w:val="clear" w:color="auto" w:fill="FFFFFF"/>
          </w:tcPr>
          <w:p w14:paraId="4FFE83BB" w14:textId="4650F9FB"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{0260;0040}</w:t>
            </w:r>
          </w:p>
        </w:tc>
        <w:tc>
          <w:tcPr>
            <w:tcW w:w="7406" w:type="dxa"/>
            <w:shd w:val="clear" w:color="auto" w:fill="FFFFFF"/>
          </w:tcPr>
          <w:p w14:paraId="72107293" w14:textId="2B92F95D"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Riska darījumi ar MVU – </w:t>
            </w:r>
            <w:r>
              <w:rPr>
                <w:rFonts w:ascii="Times New Roman" w:hAnsi="Times New Roman"/>
                <w:b/>
                <w:i/>
                <w:iCs/>
                <w:sz w:val="24"/>
              </w:rPr>
              <w:t>RWEA</w:t>
            </w:r>
            <w:r>
              <w:rPr>
                <w:rFonts w:ascii="Times New Roman" w:hAnsi="Times New Roman"/>
                <w:b/>
                <w:sz w:val="24"/>
              </w:rPr>
              <w:t xml:space="preserve"> – IRB riska darījumi</w:t>
            </w:r>
          </w:p>
          <w:p w14:paraId="61D071ED" w14:textId="4B1E17FE"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To aktīvu riska darījumu riska svērtā vērtība, kas ir IRB riska darījumi ar komercsabiedrībām saskaņā ar Regulas (ES) Nr. 575/2013 147. panta 2. punkta c) apakšpunktu, ja šie riska darījumi ir riska darījumi ar maziem un vidējiem uzņēmumiem un nav nodrošināti ar nekustamā īpašuma hipotēku saskaņā ar Regulas (ES) Nr. 575/2013 199. panta 1. punkta a) apakšpunktu.</w:t>
            </w:r>
          </w:p>
          <w:p w14:paraId="14AF8756" w14:textId="5C8B38D3" w:rsidR="004F39F5"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Termins “mazais un vidējais uzņēmums” šīs šūnas vajadzībām atbilst definīcijai Regulas (ES) Nr. 575/2013 501. panta 2. punkta b) apakšpunktā.</w:t>
            </w:r>
          </w:p>
          <w:p w14:paraId="0EF08F24" w14:textId="18E4DC92"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Iestādes šo vērtību norāda, atņemot IRB riska darījumus, kuros netiek pildītas saistības.</w:t>
            </w:r>
          </w:p>
        </w:tc>
      </w:tr>
      <w:tr w:rsidR="002A54FF" w:rsidRPr="00E75BB8" w14:paraId="447B232E" w14:textId="77777777" w:rsidTr="000B66BC">
        <w:trPr>
          <w:trHeight w:val="71"/>
        </w:trPr>
        <w:tc>
          <w:tcPr>
            <w:tcW w:w="1559" w:type="dxa"/>
            <w:shd w:val="clear" w:color="auto" w:fill="FFFFFF"/>
          </w:tcPr>
          <w:p w14:paraId="24CF42BC" w14:textId="0762963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{0270;0010}</w:t>
            </w:r>
          </w:p>
        </w:tc>
        <w:tc>
          <w:tcPr>
            <w:tcW w:w="7406" w:type="dxa"/>
            <w:shd w:val="clear" w:color="auto" w:fill="FFFFFF"/>
          </w:tcPr>
          <w:p w14:paraId="368904F3" w14:textId="1EEE993E" w:rsidR="002509B1" w:rsidRPr="000B66BC" w:rsidRDefault="00BE6AC4" w:rsidP="000B66BC">
            <w:pPr>
              <w:pStyle w:val="BodyText1"/>
              <w:spacing w:after="240" w:line="240" w:lineRule="auto"/>
              <w:rPr>
                <w:rFonts w:ascii="Times New Roman" w:hAnsi="Times New Roman"/>
                <w:b/>
                <w:sz w:val="24"/>
                <w:szCs w:val="24"/>
              </w:rPr>
            </w:pPr>
            <w:r>
              <w:rPr>
                <w:rFonts w:ascii="Times New Roman" w:hAnsi="Times New Roman"/>
                <w:b/>
                <w:sz w:val="24"/>
              </w:rPr>
              <w:t xml:space="preserve">Riska darījumi, izņemot riska darījumus ar MVU – Sviras rādītāja riska darījuma vērtība – </w:t>
            </w:r>
            <w:r>
              <w:rPr>
                <w:rFonts w:ascii="Times New Roman" w:hAnsi="Times New Roman"/>
                <w:b/>
                <w:i/>
                <w:iCs/>
                <w:sz w:val="24"/>
              </w:rPr>
              <w:t>SA</w:t>
            </w:r>
            <w:r>
              <w:rPr>
                <w:rFonts w:ascii="Times New Roman" w:hAnsi="Times New Roman"/>
                <w:b/>
                <w:sz w:val="24"/>
              </w:rPr>
              <w:t xml:space="preserve"> riska darījumi</w:t>
            </w:r>
          </w:p>
          <w:p w14:paraId="41FBC40B" w14:textId="640FD06A"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To aktīvu sviras rādītāja riska darījuma vērtība, kas ir tādi SA riska darījumi ar komercsabiedrībām, uz kuriem attiecas Regulas (ES) Nr. 575/2013 122. pants, un kas nav norādīti 0230;0040 un 0250;0040.</w:t>
            </w:r>
          </w:p>
          <w:p w14:paraId="01FC3B49" w14:textId="5139686F"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Iestādes šo vērtību norāda, atņemot </w:t>
            </w:r>
            <w:r>
              <w:rPr>
                <w:rFonts w:ascii="Times New Roman" w:hAnsi="Times New Roman"/>
                <w:i/>
                <w:iCs/>
                <w:sz w:val="24"/>
              </w:rPr>
              <w:t>SA</w:t>
            </w:r>
            <w:r>
              <w:rPr>
                <w:rFonts w:ascii="Times New Roman" w:hAnsi="Times New Roman"/>
                <w:sz w:val="24"/>
              </w:rPr>
              <w:t xml:space="preserve"> riska darījumus, kuros netiek pildītas saistības.</w:t>
            </w:r>
          </w:p>
        </w:tc>
      </w:tr>
      <w:tr w:rsidR="002A54FF" w:rsidRPr="00E75BB8" w14:paraId="7B64328B" w14:textId="77777777" w:rsidTr="000B66BC">
        <w:trPr>
          <w:trHeight w:val="71"/>
        </w:trPr>
        <w:tc>
          <w:tcPr>
            <w:tcW w:w="1559" w:type="dxa"/>
            <w:shd w:val="clear" w:color="auto" w:fill="FFFFFF"/>
          </w:tcPr>
          <w:p w14:paraId="43017660" w14:textId="3B06C10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{0270;0020}</w:t>
            </w:r>
          </w:p>
        </w:tc>
        <w:tc>
          <w:tcPr>
            <w:tcW w:w="7406" w:type="dxa"/>
            <w:shd w:val="clear" w:color="auto" w:fill="FFFFFF"/>
          </w:tcPr>
          <w:p w14:paraId="2A27297A" w14:textId="77777777" w:rsidR="00F4754B"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sz w:val="24"/>
              </w:rPr>
              <w:t>Riska darījumi, izņemot riska darījumus ar MVU – sviras rādītāja riska darījuma vērtība – IRB riska darījumi</w:t>
            </w:r>
          </w:p>
          <w:p w14:paraId="585E711E" w14:textId="28E7DBEA" w:rsidR="009C4E79"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To aktīvu riska darījumu vērtības mērs, kas ir IRB riska darījumi ar komercsabiedrībām saskaņā ar Regulas (ES) Nr. 575/2013 147. panta 2. punkta c) apakšpunktu, ja šie riska darījumi nav nodrošināti ar nekustamā īpašuma hipotēku saskaņā ar Regulas (ES) Nr. 575/2013 199. panta 1. punkta a) apakšpunktu un nav norādīti {0230;0040} un {0250;0040}.</w:t>
            </w:r>
          </w:p>
          <w:p w14:paraId="714190FD" w14:textId="58141E5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Iestādes šo vērtību norāda, atņemot IRB riska darījumus, kuros netiek pildītas saistības.</w:t>
            </w:r>
          </w:p>
        </w:tc>
      </w:tr>
      <w:tr w:rsidR="002A54FF" w:rsidRPr="00E75BB8" w14:paraId="44BE393C" w14:textId="77777777" w:rsidTr="000B66BC">
        <w:trPr>
          <w:trHeight w:val="71"/>
        </w:trPr>
        <w:tc>
          <w:tcPr>
            <w:tcW w:w="1559" w:type="dxa"/>
            <w:shd w:val="clear" w:color="auto" w:fill="FFFFFF"/>
          </w:tcPr>
          <w:p w14:paraId="4DF3E96B" w14:textId="78C7DD3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{0270;0030}</w:t>
            </w:r>
          </w:p>
        </w:tc>
        <w:tc>
          <w:tcPr>
            <w:tcW w:w="7406" w:type="dxa"/>
            <w:shd w:val="clear" w:color="auto" w:fill="FFFFFF"/>
          </w:tcPr>
          <w:p w14:paraId="214E8F81" w14:textId="267DF9F2" w:rsidR="00F4754B"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Riska darījumi, izņemot riska darījumus ar MVU – </w:t>
            </w:r>
            <w:r>
              <w:rPr>
                <w:rFonts w:ascii="Times New Roman" w:hAnsi="Times New Roman"/>
                <w:b/>
                <w:i/>
                <w:iCs/>
                <w:sz w:val="24"/>
              </w:rPr>
              <w:t>RWEA</w:t>
            </w:r>
            <w:r>
              <w:rPr>
                <w:rFonts w:ascii="Times New Roman" w:hAnsi="Times New Roman"/>
                <w:b/>
                <w:sz w:val="24"/>
              </w:rPr>
              <w:t xml:space="preserve"> – </w:t>
            </w:r>
            <w:r>
              <w:rPr>
                <w:rFonts w:ascii="Times New Roman" w:hAnsi="Times New Roman"/>
                <w:b/>
                <w:i/>
                <w:iCs/>
                <w:sz w:val="24"/>
              </w:rPr>
              <w:t>SA</w:t>
            </w:r>
            <w:r>
              <w:rPr>
                <w:rFonts w:ascii="Times New Roman" w:hAnsi="Times New Roman"/>
                <w:b/>
                <w:sz w:val="24"/>
              </w:rPr>
              <w:t xml:space="preserve"> riska darījumi</w:t>
            </w:r>
          </w:p>
          <w:p w14:paraId="10BEA73F" w14:textId="61EC6DDB"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To aktīvu riska darījumu riska svērtā vērtība, kas ir tādi </w:t>
            </w:r>
            <w:r>
              <w:rPr>
                <w:rFonts w:ascii="Times New Roman" w:hAnsi="Times New Roman"/>
                <w:i/>
                <w:iCs/>
                <w:sz w:val="24"/>
              </w:rPr>
              <w:t>SA</w:t>
            </w:r>
            <w:r>
              <w:rPr>
                <w:rFonts w:ascii="Times New Roman" w:hAnsi="Times New Roman"/>
                <w:sz w:val="24"/>
              </w:rPr>
              <w:t xml:space="preserve"> riska darījumi ar komercsabiedrībām, uz kuriem attiecas Regulas (ES) Nr. 575/2013 122. pants, un kas nav norādīti {0230;0040} un {0250;0040}.</w:t>
            </w:r>
          </w:p>
          <w:p w14:paraId="3BF86EC4" w14:textId="255E5CD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Iestādes šo vērtību norāda, atņemot </w:t>
            </w:r>
            <w:r>
              <w:rPr>
                <w:rFonts w:ascii="Times New Roman" w:hAnsi="Times New Roman"/>
                <w:i/>
                <w:iCs/>
                <w:sz w:val="24"/>
              </w:rPr>
              <w:t>SA</w:t>
            </w:r>
            <w:r>
              <w:rPr>
                <w:rFonts w:ascii="Times New Roman" w:hAnsi="Times New Roman"/>
                <w:sz w:val="24"/>
              </w:rPr>
              <w:t xml:space="preserve"> riska darījumus, kuros netiek pildītas saistības.</w:t>
            </w:r>
          </w:p>
        </w:tc>
      </w:tr>
      <w:tr w:rsidR="002A54FF" w:rsidRPr="00E75BB8" w14:paraId="4284B6D9" w14:textId="77777777" w:rsidTr="000B66BC">
        <w:trPr>
          <w:trHeight w:val="71"/>
        </w:trPr>
        <w:tc>
          <w:tcPr>
            <w:tcW w:w="1559" w:type="dxa"/>
            <w:shd w:val="clear" w:color="auto" w:fill="FFFFFF"/>
          </w:tcPr>
          <w:p w14:paraId="50A67914" w14:textId="4063927D"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{0270;0040}</w:t>
            </w:r>
          </w:p>
        </w:tc>
        <w:tc>
          <w:tcPr>
            <w:tcW w:w="7406" w:type="dxa"/>
            <w:shd w:val="clear" w:color="auto" w:fill="FFFFFF"/>
          </w:tcPr>
          <w:p w14:paraId="4D405A64" w14:textId="301D30BA" w:rsidR="002509B1"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Riska darījumi, izņemot riska darījumus ar MVU – </w:t>
            </w:r>
            <w:r>
              <w:rPr>
                <w:rFonts w:ascii="Times New Roman" w:hAnsi="Times New Roman"/>
                <w:b/>
                <w:i/>
                <w:iCs/>
                <w:sz w:val="24"/>
              </w:rPr>
              <w:t>RWEA</w:t>
            </w:r>
            <w:r>
              <w:rPr>
                <w:rFonts w:ascii="Times New Roman" w:hAnsi="Times New Roman"/>
                <w:b/>
                <w:sz w:val="24"/>
              </w:rPr>
              <w:t xml:space="preserve"> – IRB riska darījumi</w:t>
            </w:r>
          </w:p>
          <w:p w14:paraId="66C72176" w14:textId="085A3EC0"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To aktīvu riska darījumu riska svērtā vērtība, kas ir IRB riska darījumi ar komercsabiedrībām saskaņā ar Regulas (ES) Nr. 575/2013 147. panta 2. punkta c) apakšpunktu, ja šie riska darījumi nav nodrošināti ar nekustamā īpašuma hipotēku saskaņā ar Regulas (ES) Nr. 575/2013 199. panta 1. punkta a) apakšpunktu un nav norādīti {0230;0040} un {0250;0040}.</w:t>
            </w:r>
          </w:p>
          <w:p w14:paraId="56E24BD9" w14:textId="23040902"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Iestādes šo vērtību norāda, atņemot IRB riska darījumus, kuros netiek pildītas saistības.</w:t>
            </w:r>
          </w:p>
        </w:tc>
      </w:tr>
      <w:tr w:rsidR="002A54FF" w:rsidRPr="00E75BB8" w14:paraId="4078E02E" w14:textId="77777777" w:rsidTr="000B66BC">
        <w:trPr>
          <w:trHeight w:val="71"/>
        </w:trPr>
        <w:tc>
          <w:tcPr>
            <w:tcW w:w="1559" w:type="dxa"/>
            <w:shd w:val="clear" w:color="auto" w:fill="FFFFFF"/>
          </w:tcPr>
          <w:p w14:paraId="78678416" w14:textId="11F0757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{0280;0010}</w:t>
            </w:r>
          </w:p>
        </w:tc>
        <w:tc>
          <w:tcPr>
            <w:tcW w:w="7406" w:type="dxa"/>
            <w:shd w:val="clear" w:color="auto" w:fill="FFFFFF"/>
          </w:tcPr>
          <w:p w14:paraId="3643375B"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Riska darījumi, kuros netiek pildītas saistības – Sviras rādītāja riska darījuma vērtība– </w:t>
            </w:r>
            <w:r>
              <w:rPr>
                <w:rFonts w:ascii="Times New Roman" w:hAnsi="Times New Roman"/>
                <w:b/>
                <w:i/>
                <w:iCs/>
                <w:sz w:val="24"/>
              </w:rPr>
              <w:t>SA</w:t>
            </w:r>
            <w:r>
              <w:rPr>
                <w:rFonts w:ascii="Times New Roman" w:hAnsi="Times New Roman"/>
                <w:b/>
                <w:sz w:val="24"/>
              </w:rPr>
              <w:t xml:space="preserve"> riska darījumi</w:t>
            </w:r>
          </w:p>
          <w:p w14:paraId="19F3FE8B" w14:textId="09260466" w:rsidR="002509B1" w:rsidRPr="000B66BC" w:rsidRDefault="00FC5086" w:rsidP="000B66BC">
            <w:pPr>
              <w:pStyle w:val="BodyText1"/>
              <w:spacing w:after="240" w:line="240" w:lineRule="auto"/>
              <w:rPr>
                <w:rFonts w:ascii="Times New Roman" w:hAnsi="Times New Roman"/>
                <w:bCs/>
                <w:sz w:val="24"/>
                <w:szCs w:val="24"/>
              </w:rPr>
            </w:pPr>
            <w:r>
              <w:rPr>
                <w:rFonts w:ascii="Times New Roman" w:hAnsi="Times New Roman"/>
                <w:sz w:val="24"/>
              </w:rPr>
              <w:t xml:space="preserve">Iestādes uzrāda to aktīvu sviras rādītāja riska darījuma vērtību, kas ir </w:t>
            </w:r>
            <w:r>
              <w:rPr>
                <w:rFonts w:ascii="Times New Roman" w:hAnsi="Times New Roman"/>
                <w:i/>
                <w:iCs/>
                <w:sz w:val="24"/>
              </w:rPr>
              <w:t>SA</w:t>
            </w:r>
            <w:r>
              <w:rPr>
                <w:rFonts w:ascii="Times New Roman" w:hAnsi="Times New Roman"/>
                <w:sz w:val="24"/>
              </w:rPr>
              <w:t xml:space="preserve"> riska darījumi, kuros netiek pildītas saistības un uz kuriem tāpēc attiecas Regulas (ES) Nr. 575/2013 127. pants.</w:t>
            </w:r>
          </w:p>
        </w:tc>
      </w:tr>
      <w:tr w:rsidR="002A54FF" w:rsidRPr="00E75BB8" w14:paraId="6208DB18" w14:textId="77777777" w:rsidTr="000B66BC">
        <w:trPr>
          <w:trHeight w:val="71"/>
        </w:trPr>
        <w:tc>
          <w:tcPr>
            <w:tcW w:w="1559" w:type="dxa"/>
            <w:shd w:val="clear" w:color="auto" w:fill="FFFFFF"/>
          </w:tcPr>
          <w:p w14:paraId="783D1BB3" w14:textId="6E8DA48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{0280;0020}</w:t>
            </w:r>
          </w:p>
        </w:tc>
        <w:tc>
          <w:tcPr>
            <w:tcW w:w="7406" w:type="dxa"/>
            <w:shd w:val="clear" w:color="auto" w:fill="FFFFFF"/>
          </w:tcPr>
          <w:p w14:paraId="5B5C9DCF"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Riska darījumi, kuros netiek pildītas saistības – sviras rādītāja riska darījuma vērtība – IRB riska darījumi</w:t>
            </w:r>
          </w:p>
          <w:p w14:paraId="35C502CA" w14:textId="59584DDE" w:rsidR="002509B1" w:rsidRPr="000B66BC" w:rsidRDefault="00FC5086" w:rsidP="000B66BC">
            <w:pPr>
              <w:pStyle w:val="BodyText1"/>
              <w:spacing w:after="240" w:line="240" w:lineRule="auto"/>
              <w:rPr>
                <w:rFonts w:ascii="Times New Roman" w:hAnsi="Times New Roman"/>
                <w:bCs/>
                <w:sz w:val="24"/>
                <w:szCs w:val="24"/>
              </w:rPr>
            </w:pPr>
            <w:r>
              <w:rPr>
                <w:rFonts w:ascii="Times New Roman" w:hAnsi="Times New Roman"/>
                <w:sz w:val="24"/>
              </w:rPr>
              <w:t>Iestādes uzrāda to aktīvu sviras rādītāja riska darījuma vērtību, kas klasificēti Regulas (ES) Nr. 575/2013 147. panta 2. punktā norādītajās riska darījumu kategorijās, ja ir notikusi saistību neizpilde saskaņā ar Regulas (ES) Nr. 575/2013 178. pantu.</w:t>
            </w:r>
          </w:p>
        </w:tc>
      </w:tr>
      <w:tr w:rsidR="002A54FF" w:rsidRPr="00E75BB8" w14:paraId="3AD252C0" w14:textId="77777777" w:rsidTr="000B66BC">
        <w:trPr>
          <w:trHeight w:val="71"/>
        </w:trPr>
        <w:tc>
          <w:tcPr>
            <w:tcW w:w="1559" w:type="dxa"/>
            <w:shd w:val="clear" w:color="auto" w:fill="FFFFFF"/>
          </w:tcPr>
          <w:p w14:paraId="08CA0E26" w14:textId="78C5E6F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{0280;0030}</w:t>
            </w:r>
          </w:p>
        </w:tc>
        <w:tc>
          <w:tcPr>
            <w:tcW w:w="7406" w:type="dxa"/>
            <w:shd w:val="clear" w:color="auto" w:fill="FFFFFF"/>
          </w:tcPr>
          <w:p w14:paraId="327CD6C9" w14:textId="16A698EF"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Riska darījumi, kuros netiek pildītas saistības – </w:t>
            </w:r>
            <w:r>
              <w:rPr>
                <w:rFonts w:ascii="Times New Roman" w:hAnsi="Times New Roman"/>
                <w:b/>
                <w:i/>
                <w:iCs/>
                <w:sz w:val="24"/>
              </w:rPr>
              <w:t>RWEA</w:t>
            </w:r>
            <w:r>
              <w:rPr>
                <w:rFonts w:ascii="Times New Roman" w:hAnsi="Times New Roman"/>
                <w:b/>
                <w:sz w:val="24"/>
              </w:rPr>
              <w:t xml:space="preserve"> – </w:t>
            </w:r>
            <w:r>
              <w:rPr>
                <w:rFonts w:ascii="Times New Roman" w:hAnsi="Times New Roman"/>
                <w:b/>
                <w:i/>
                <w:iCs/>
                <w:sz w:val="24"/>
              </w:rPr>
              <w:t>SA</w:t>
            </w:r>
            <w:r>
              <w:rPr>
                <w:rFonts w:ascii="Times New Roman" w:hAnsi="Times New Roman"/>
                <w:b/>
                <w:sz w:val="24"/>
              </w:rPr>
              <w:t xml:space="preserve"> riska darījumi</w:t>
            </w:r>
          </w:p>
          <w:p w14:paraId="4ECD736F" w14:textId="2BB025BA" w:rsidR="002509B1" w:rsidRPr="000B66BC" w:rsidRDefault="00FC5086" w:rsidP="000B66BC">
            <w:pPr>
              <w:pStyle w:val="BodyText1"/>
              <w:spacing w:after="240" w:line="240" w:lineRule="auto"/>
              <w:rPr>
                <w:rFonts w:ascii="Times New Roman" w:hAnsi="Times New Roman"/>
                <w:b/>
                <w:bCs/>
                <w:sz w:val="24"/>
                <w:szCs w:val="24"/>
                <w:u w:val="single"/>
              </w:rPr>
            </w:pPr>
            <w:r>
              <w:rPr>
                <w:rFonts w:ascii="Times New Roman" w:hAnsi="Times New Roman"/>
                <w:sz w:val="24"/>
              </w:rPr>
              <w:t>To aktīvu riska darījumu riska svērtā vērtība, kas ir riska darījumi, kuros netiek pildītas saistības un uz kuriem tāpēc attiecas Regulas (ES) Nr. 575/2013 127. pants.</w:t>
            </w:r>
          </w:p>
        </w:tc>
      </w:tr>
      <w:tr w:rsidR="002A54FF" w:rsidRPr="00E75BB8" w14:paraId="1E9BD77A" w14:textId="77777777" w:rsidTr="000B66BC">
        <w:trPr>
          <w:trHeight w:val="71"/>
        </w:trPr>
        <w:tc>
          <w:tcPr>
            <w:tcW w:w="1559" w:type="dxa"/>
            <w:shd w:val="clear" w:color="auto" w:fill="FFFFFF"/>
          </w:tcPr>
          <w:p w14:paraId="31BD5908" w14:textId="24179E5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{0280;0040}</w:t>
            </w:r>
          </w:p>
        </w:tc>
        <w:tc>
          <w:tcPr>
            <w:tcW w:w="7406" w:type="dxa"/>
            <w:shd w:val="clear" w:color="auto" w:fill="FFFFFF"/>
          </w:tcPr>
          <w:p w14:paraId="480D541C" w14:textId="39237169"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Riska darījumi, kuros netiek pildītas saistības – </w:t>
            </w:r>
            <w:r>
              <w:rPr>
                <w:rFonts w:ascii="Times New Roman" w:hAnsi="Times New Roman"/>
                <w:b/>
                <w:i/>
                <w:iCs/>
                <w:sz w:val="24"/>
              </w:rPr>
              <w:t>RWEA</w:t>
            </w:r>
            <w:r>
              <w:rPr>
                <w:rFonts w:ascii="Times New Roman" w:hAnsi="Times New Roman"/>
                <w:b/>
                <w:sz w:val="24"/>
              </w:rPr>
              <w:t xml:space="preserve"> – IRB riska darījumi</w:t>
            </w:r>
          </w:p>
          <w:p w14:paraId="5EF9576D" w14:textId="73F3DE3E" w:rsidR="002509B1" w:rsidRPr="000B66BC" w:rsidRDefault="00FC5086" w:rsidP="000B66BC">
            <w:pPr>
              <w:pStyle w:val="BodyText1"/>
              <w:spacing w:after="240" w:line="240" w:lineRule="auto"/>
              <w:rPr>
                <w:rFonts w:ascii="Times New Roman" w:hAnsi="Times New Roman"/>
                <w:b/>
                <w:bCs/>
                <w:sz w:val="24"/>
                <w:szCs w:val="24"/>
                <w:u w:val="single"/>
              </w:rPr>
            </w:pPr>
            <w:r>
              <w:rPr>
                <w:rFonts w:ascii="Times New Roman" w:hAnsi="Times New Roman"/>
                <w:sz w:val="24"/>
              </w:rPr>
              <w:t>To aktīvu riska darījumu riska svērtā vērtība, kas klasificēti Regulas (ES) Nr. 575/2013 147. panta 2. punktā norādītajās riska darījumu kategorijās, ja ir notikusi saistību neizpilde saskaņā ar Regulas (ES) Nr. 575/2013 178. pantu.</w:t>
            </w:r>
          </w:p>
        </w:tc>
      </w:tr>
      <w:tr w:rsidR="002A54FF" w:rsidRPr="00E75BB8" w14:paraId="3AEBEAE6" w14:textId="77777777" w:rsidTr="000B66BC">
        <w:trPr>
          <w:trHeight w:val="71"/>
        </w:trPr>
        <w:tc>
          <w:tcPr>
            <w:tcW w:w="1559" w:type="dxa"/>
            <w:shd w:val="clear" w:color="auto" w:fill="FFFFFF"/>
          </w:tcPr>
          <w:p w14:paraId="5BA625DB" w14:textId="374E40D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{0290;0010}</w:t>
            </w:r>
          </w:p>
          <w:p w14:paraId="100727CA" w14:textId="77777777" w:rsidR="00F4754B" w:rsidRPr="000B66BC" w:rsidRDefault="00F4754B" w:rsidP="000B66BC">
            <w:pPr>
              <w:pStyle w:val="BodyText1"/>
              <w:spacing w:after="240"/>
              <w:rPr>
                <w:rFonts w:ascii="Times New Roman" w:hAnsi="Times New Roman"/>
                <w:sz w:val="24"/>
                <w:szCs w:val="24"/>
              </w:rPr>
            </w:pPr>
          </w:p>
        </w:tc>
        <w:tc>
          <w:tcPr>
            <w:tcW w:w="7406" w:type="dxa"/>
            <w:shd w:val="clear" w:color="auto" w:fill="FFFFFF"/>
          </w:tcPr>
          <w:p w14:paraId="7D8E3311" w14:textId="44E51481"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Citi riska darījumi – Riska darījumu vērtības mērs – </w:t>
            </w:r>
            <w:r>
              <w:rPr>
                <w:rFonts w:ascii="Times New Roman" w:hAnsi="Times New Roman"/>
                <w:b/>
                <w:i/>
                <w:iCs/>
                <w:sz w:val="24"/>
              </w:rPr>
              <w:t>SA</w:t>
            </w:r>
            <w:r>
              <w:rPr>
                <w:rFonts w:ascii="Times New Roman" w:hAnsi="Times New Roman"/>
                <w:b/>
                <w:sz w:val="24"/>
              </w:rPr>
              <w:t xml:space="preserve"> riska darījumi</w:t>
            </w:r>
          </w:p>
          <w:p w14:paraId="59E2187D" w14:textId="6DA1DF91"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To aktīvu sviras rādītāja riska darījuma vērtība, kas klasificēti riska darījumu kategorijās, kuras norādītas Regulas (ES) Nr. 575/2013 112. panta k), m), n), o), p) un q) punktā.</w:t>
            </w:r>
          </w:p>
          <w:p w14:paraId="243415E4" w14:textId="6BDA1162" w:rsidR="002509B1" w:rsidRPr="000B66BC" w:rsidRDefault="00482670" w:rsidP="000B66BC">
            <w:pPr>
              <w:pStyle w:val="BodyText1"/>
              <w:spacing w:after="240" w:line="240" w:lineRule="auto"/>
              <w:rPr>
                <w:rFonts w:ascii="Times New Roman" w:hAnsi="Times New Roman"/>
                <w:bCs/>
                <w:sz w:val="24"/>
                <w:szCs w:val="24"/>
              </w:rPr>
            </w:pPr>
            <w:r>
              <w:rPr>
                <w:rFonts w:ascii="Times New Roman" w:hAnsi="Times New Roman"/>
                <w:sz w:val="24"/>
              </w:rPr>
              <w:t>Iestādes norāda aktīvus, kuri atskaitīti no pašu kapitāla (piemēram, nemateriālos aktīvus) un kurus šeit nevar klasificēt citādi, pat ja šāda klasifikācija nav nepieciešama uz risku balstītās pašu kapitāla prasības noteikšanai ailēs {*; 0030} un {*; 0040}.</w:t>
            </w:r>
          </w:p>
          <w:p w14:paraId="7B7E64BF" w14:textId="27D9DDDB"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 xml:space="preserve">Iestādes šo vērtību norāda, atņemot </w:t>
            </w:r>
            <w:r>
              <w:rPr>
                <w:rFonts w:ascii="Times New Roman" w:hAnsi="Times New Roman"/>
                <w:i/>
                <w:iCs/>
                <w:sz w:val="24"/>
              </w:rPr>
              <w:t>SA</w:t>
            </w:r>
            <w:r>
              <w:rPr>
                <w:rFonts w:ascii="Times New Roman" w:hAnsi="Times New Roman"/>
                <w:sz w:val="24"/>
              </w:rPr>
              <w:t xml:space="preserve"> riska darījumus, kuros netiek pildītas saistības.</w:t>
            </w:r>
          </w:p>
        </w:tc>
      </w:tr>
      <w:tr w:rsidR="002A54FF" w:rsidRPr="00E75BB8" w14:paraId="72E20088" w14:textId="77777777" w:rsidTr="000B66BC">
        <w:trPr>
          <w:trHeight w:val="71"/>
        </w:trPr>
        <w:tc>
          <w:tcPr>
            <w:tcW w:w="1559" w:type="dxa"/>
            <w:shd w:val="clear" w:color="auto" w:fill="FFFFFF"/>
          </w:tcPr>
          <w:p w14:paraId="079F489C" w14:textId="033B0F9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{0290;0020}</w:t>
            </w:r>
          </w:p>
        </w:tc>
        <w:tc>
          <w:tcPr>
            <w:tcW w:w="7406" w:type="dxa"/>
            <w:shd w:val="clear" w:color="auto" w:fill="FFFFFF"/>
          </w:tcPr>
          <w:p w14:paraId="04B12DFD" w14:textId="7640F749"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Citi riska darījumi – Sviras rādītāja riska darījuma vērtība – IRB riska darījumi</w:t>
            </w:r>
          </w:p>
          <w:p w14:paraId="509BE205" w14:textId="760A9F01" w:rsidR="00482670"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To aktīvu sviras rādītāja riska darījuma vērtība, kas klasificēti riska darījumu kategorijās, kuras norādītas Regulas (ES) Nr. 575/2013 147. panta 2. punkta e), e1), f) un g) apakšpunktā.</w:t>
            </w:r>
          </w:p>
          <w:p w14:paraId="71F126DD" w14:textId="4375AAF5" w:rsidR="00BB388D" w:rsidRPr="000B66BC" w:rsidRDefault="00482670"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Iestādes norāda aktīvus, kuri atskaitīti no pašu kapitāla (piemēram, nemateriālos aktīvus) un kurus šeit nevar klasificēt citādi, pat ja šāda klasifikācija nav nepieciešama uz risku balstītās pašu kapitāla prasības noteikšanai ailēs {*; 0030} un {*; 0040}.</w:t>
            </w:r>
          </w:p>
          <w:p w14:paraId="2C772C0F" w14:textId="142C485B" w:rsidR="002509B1" w:rsidRPr="000B66BC" w:rsidRDefault="00BB388D" w:rsidP="000B66BC">
            <w:pPr>
              <w:pStyle w:val="BodyText1"/>
              <w:spacing w:after="240" w:line="240" w:lineRule="auto"/>
              <w:rPr>
                <w:rFonts w:ascii="Times New Roman" w:hAnsi="Times New Roman"/>
                <w:b/>
                <w:bCs/>
                <w:sz w:val="24"/>
                <w:szCs w:val="24"/>
                <w:u w:val="single"/>
              </w:rPr>
            </w:pPr>
            <w:r>
              <w:rPr>
                <w:rFonts w:ascii="Times New Roman" w:hAnsi="Times New Roman"/>
                <w:sz w:val="24"/>
              </w:rPr>
              <w:t>Iestādes šo vērtību norāda, atņemot IRB riska darījumus, kuros netiek pildītas saistības.</w:t>
            </w:r>
          </w:p>
        </w:tc>
      </w:tr>
      <w:tr w:rsidR="002A54FF" w:rsidRPr="00E75BB8" w14:paraId="6B7AB21E" w14:textId="77777777" w:rsidTr="000B66BC">
        <w:trPr>
          <w:trHeight w:val="71"/>
        </w:trPr>
        <w:tc>
          <w:tcPr>
            <w:tcW w:w="1559" w:type="dxa"/>
            <w:shd w:val="clear" w:color="auto" w:fill="FFFFFF"/>
          </w:tcPr>
          <w:p w14:paraId="633B4D60" w14:textId="1DECF162"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{0290;0030}</w:t>
            </w:r>
          </w:p>
        </w:tc>
        <w:tc>
          <w:tcPr>
            <w:tcW w:w="7406" w:type="dxa"/>
            <w:shd w:val="clear" w:color="auto" w:fill="FFFFFF"/>
          </w:tcPr>
          <w:p w14:paraId="75145255" w14:textId="3F615415"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sz w:val="24"/>
              </w:rPr>
              <w:t xml:space="preserve">Citi riska darījumi – </w:t>
            </w:r>
            <w:r>
              <w:rPr>
                <w:rFonts w:ascii="Times New Roman" w:hAnsi="Times New Roman"/>
                <w:b/>
                <w:i/>
                <w:iCs/>
                <w:sz w:val="24"/>
              </w:rPr>
              <w:t>RWEA</w:t>
            </w:r>
            <w:r>
              <w:rPr>
                <w:rFonts w:ascii="Times New Roman" w:hAnsi="Times New Roman"/>
                <w:b/>
                <w:sz w:val="24"/>
              </w:rPr>
              <w:t xml:space="preserve"> – </w:t>
            </w:r>
            <w:r>
              <w:rPr>
                <w:rFonts w:ascii="Times New Roman" w:hAnsi="Times New Roman"/>
                <w:b/>
                <w:i/>
                <w:iCs/>
                <w:sz w:val="24"/>
              </w:rPr>
              <w:t>SA</w:t>
            </w:r>
            <w:r>
              <w:rPr>
                <w:rFonts w:ascii="Times New Roman" w:hAnsi="Times New Roman"/>
                <w:b/>
                <w:sz w:val="24"/>
              </w:rPr>
              <w:t xml:space="preserve"> riska darījumi</w:t>
            </w:r>
          </w:p>
          <w:p w14:paraId="61F5D6CA" w14:textId="1082E7C5"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To aktīvu riska darījuma riska svērtā vērtība, kas klasificēti riska darījumu kategorijās, kuras norādītas Regulas (ES) Nr. 575/2013 112. panta k), m), n), o), p) un q) punktā.</w:t>
            </w:r>
          </w:p>
          <w:p w14:paraId="1A7DE9B0" w14:textId="1E7127C7"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Iestādes šo vērtību norāda, atņemot </w:t>
            </w:r>
            <w:r>
              <w:rPr>
                <w:rFonts w:ascii="Times New Roman" w:hAnsi="Times New Roman"/>
                <w:i/>
                <w:iCs/>
                <w:sz w:val="24"/>
              </w:rPr>
              <w:t>SA</w:t>
            </w:r>
            <w:r>
              <w:rPr>
                <w:rFonts w:ascii="Times New Roman" w:hAnsi="Times New Roman"/>
                <w:sz w:val="24"/>
              </w:rPr>
              <w:t xml:space="preserve"> riska darījumus, kuros netiek pildītas saistības.</w:t>
            </w:r>
          </w:p>
        </w:tc>
      </w:tr>
      <w:tr w:rsidR="002A54FF" w:rsidRPr="00E75BB8" w14:paraId="7C5A4860" w14:textId="77777777" w:rsidTr="000B66BC">
        <w:trPr>
          <w:trHeight w:val="71"/>
        </w:trPr>
        <w:tc>
          <w:tcPr>
            <w:tcW w:w="1559" w:type="dxa"/>
            <w:shd w:val="clear" w:color="auto" w:fill="FFFFFF"/>
          </w:tcPr>
          <w:p w14:paraId="5D10170B" w14:textId="0353A1DD"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{0290;0040}</w:t>
            </w:r>
          </w:p>
        </w:tc>
        <w:tc>
          <w:tcPr>
            <w:tcW w:w="7406" w:type="dxa"/>
            <w:shd w:val="clear" w:color="auto" w:fill="FFFFFF"/>
          </w:tcPr>
          <w:p w14:paraId="4D50DB6F" w14:textId="4232608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sz w:val="24"/>
              </w:rPr>
              <w:t xml:space="preserve">Citi riska darījumi – </w:t>
            </w:r>
            <w:r>
              <w:rPr>
                <w:rFonts w:ascii="Times New Roman" w:hAnsi="Times New Roman"/>
                <w:b/>
                <w:i/>
                <w:iCs/>
                <w:sz w:val="24"/>
              </w:rPr>
              <w:t>RWEA</w:t>
            </w:r>
            <w:r>
              <w:rPr>
                <w:rFonts w:ascii="Times New Roman" w:hAnsi="Times New Roman"/>
                <w:b/>
                <w:sz w:val="24"/>
              </w:rPr>
              <w:t xml:space="preserve"> – IRB riska darījumi</w:t>
            </w:r>
          </w:p>
          <w:p w14:paraId="047D3368" w14:textId="09023488" w:rsidR="00BB388D"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To aktīvu riska darījumu riska svērtā vērtība, kas klasificēti riska darījumu kategorijās, kuras norādītas Regulas (ES) Nr. 575/2013 147. panta 2. punkta e), e1), f) un g) apakšpunktā.</w:t>
            </w:r>
          </w:p>
          <w:p w14:paraId="2891CC60" w14:textId="54E32862" w:rsidR="002509B1" w:rsidRPr="000B66BC" w:rsidRDefault="00BB388D" w:rsidP="000B66BC">
            <w:pPr>
              <w:pStyle w:val="BodyText1"/>
              <w:spacing w:after="240" w:line="240" w:lineRule="auto"/>
              <w:rPr>
                <w:rFonts w:ascii="Times New Roman" w:hAnsi="Times New Roman"/>
                <w:b/>
                <w:bCs/>
                <w:sz w:val="24"/>
                <w:szCs w:val="24"/>
                <w:u w:val="single"/>
              </w:rPr>
            </w:pPr>
            <w:r>
              <w:rPr>
                <w:rFonts w:ascii="Times New Roman" w:hAnsi="Times New Roman"/>
                <w:sz w:val="24"/>
              </w:rPr>
              <w:t>Iestādes šo vērtību norāda, atņemot IRB riska darījumus, kuros netiek pildītas saistības.</w:t>
            </w:r>
          </w:p>
        </w:tc>
      </w:tr>
      <w:tr w:rsidR="002A54FF" w:rsidRPr="00E75BB8" w14:paraId="1F3D2776" w14:textId="77777777" w:rsidTr="000B66BC">
        <w:trPr>
          <w:trHeight w:val="71"/>
        </w:trPr>
        <w:tc>
          <w:tcPr>
            <w:tcW w:w="1559" w:type="dxa"/>
            <w:shd w:val="clear" w:color="auto" w:fill="FFFFFF"/>
          </w:tcPr>
          <w:p w14:paraId="2E979259" w14:textId="01C67E6D"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{0300;0010}</w:t>
            </w:r>
          </w:p>
        </w:tc>
        <w:tc>
          <w:tcPr>
            <w:tcW w:w="7406" w:type="dxa"/>
            <w:shd w:val="clear" w:color="auto" w:fill="FFFFFF"/>
          </w:tcPr>
          <w:p w14:paraId="3D18A2F9" w14:textId="29912885" w:rsidR="002509B1"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No kā: </w:t>
            </w:r>
            <w:proofErr w:type="spellStart"/>
            <w:r>
              <w:rPr>
                <w:rFonts w:ascii="Times New Roman" w:hAnsi="Times New Roman"/>
                <w:b/>
                <w:sz w:val="24"/>
              </w:rPr>
              <w:t>Vērtspapīrošanas</w:t>
            </w:r>
            <w:proofErr w:type="spellEnd"/>
            <w:r>
              <w:rPr>
                <w:rFonts w:ascii="Times New Roman" w:hAnsi="Times New Roman"/>
                <w:b/>
                <w:sz w:val="24"/>
              </w:rPr>
              <w:t xml:space="preserve"> riska darījumi – Sviras rādītāja riska darījuma vērtība –</w:t>
            </w:r>
            <w:r>
              <w:rPr>
                <w:rFonts w:ascii="Times New Roman" w:hAnsi="Times New Roman"/>
                <w:b/>
                <w:i/>
                <w:iCs/>
                <w:sz w:val="24"/>
              </w:rPr>
              <w:t>SA</w:t>
            </w:r>
            <w:r>
              <w:rPr>
                <w:rFonts w:ascii="Times New Roman" w:hAnsi="Times New Roman"/>
                <w:b/>
                <w:sz w:val="24"/>
              </w:rPr>
              <w:t xml:space="preserve"> riska darījumi</w:t>
            </w:r>
          </w:p>
          <w:p w14:paraId="7530F6A8" w14:textId="34A5EF38"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To aktīvu sviras rādītāja riska darījuma vērtība, kas ir </w:t>
            </w:r>
            <w:r>
              <w:rPr>
                <w:rFonts w:ascii="Times New Roman" w:hAnsi="Times New Roman"/>
                <w:i/>
                <w:iCs/>
                <w:sz w:val="24"/>
              </w:rPr>
              <w:t>SA</w:t>
            </w:r>
            <w:r>
              <w:rPr>
                <w:rFonts w:ascii="Times New Roman" w:hAnsi="Times New Roman"/>
                <w:sz w:val="24"/>
              </w:rPr>
              <w:t xml:space="preserve"> </w:t>
            </w:r>
            <w:proofErr w:type="spellStart"/>
            <w:r>
              <w:rPr>
                <w:rFonts w:ascii="Times New Roman" w:hAnsi="Times New Roman"/>
                <w:sz w:val="24"/>
              </w:rPr>
              <w:t>vērtspapīrošanas</w:t>
            </w:r>
            <w:proofErr w:type="spellEnd"/>
            <w:r>
              <w:rPr>
                <w:rFonts w:ascii="Times New Roman" w:hAnsi="Times New Roman"/>
                <w:sz w:val="24"/>
              </w:rPr>
              <w:t xml:space="preserve"> riska darījumi un uz kuriem attiecas Regulas (ES) Nr. 575/2013 112. panta m) punkts.</w:t>
            </w:r>
          </w:p>
          <w:p w14:paraId="2DE0AC42" w14:textId="77A211EB" w:rsidR="009C4E79"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 xml:space="preserve">Iestādes šo vērtību norāda, atņemot </w:t>
            </w:r>
            <w:r>
              <w:rPr>
                <w:rFonts w:ascii="Times New Roman" w:hAnsi="Times New Roman"/>
                <w:i/>
                <w:iCs/>
                <w:sz w:val="24"/>
              </w:rPr>
              <w:t>SA</w:t>
            </w:r>
            <w:r>
              <w:rPr>
                <w:rFonts w:ascii="Times New Roman" w:hAnsi="Times New Roman"/>
                <w:sz w:val="24"/>
              </w:rPr>
              <w:t xml:space="preserve"> riska darījumus, kuros netiek pildītas saistības.</w:t>
            </w:r>
          </w:p>
        </w:tc>
      </w:tr>
      <w:tr w:rsidR="002A54FF" w:rsidRPr="00E75BB8" w14:paraId="54158C66" w14:textId="77777777" w:rsidTr="000B66BC">
        <w:trPr>
          <w:trHeight w:val="71"/>
        </w:trPr>
        <w:tc>
          <w:tcPr>
            <w:tcW w:w="1559" w:type="dxa"/>
            <w:shd w:val="clear" w:color="auto" w:fill="FFFFFF"/>
          </w:tcPr>
          <w:p w14:paraId="081F9849" w14:textId="6C8F2355"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{0300;0020}</w:t>
            </w:r>
          </w:p>
        </w:tc>
        <w:tc>
          <w:tcPr>
            <w:tcW w:w="7406" w:type="dxa"/>
            <w:shd w:val="clear" w:color="auto" w:fill="FFFFFF"/>
          </w:tcPr>
          <w:p w14:paraId="12C4E302" w14:textId="1F965943" w:rsidR="002509B1"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No kā: </w:t>
            </w:r>
            <w:proofErr w:type="spellStart"/>
            <w:r>
              <w:rPr>
                <w:rFonts w:ascii="Times New Roman" w:hAnsi="Times New Roman"/>
                <w:b/>
                <w:sz w:val="24"/>
              </w:rPr>
              <w:t>Vērtspapīrošanas</w:t>
            </w:r>
            <w:proofErr w:type="spellEnd"/>
            <w:r>
              <w:rPr>
                <w:rFonts w:ascii="Times New Roman" w:hAnsi="Times New Roman"/>
                <w:b/>
                <w:sz w:val="24"/>
              </w:rPr>
              <w:t xml:space="preserve"> riska darījumi – sviras rādītāja riska darījuma vērtība – IRB riska darījumi</w:t>
            </w:r>
          </w:p>
          <w:p w14:paraId="52AFEF6A" w14:textId="5CD6F874"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To aktīvu sviras rādītāja riska darījuma vērtība, kas ir IRB </w:t>
            </w:r>
            <w:proofErr w:type="spellStart"/>
            <w:r>
              <w:rPr>
                <w:rFonts w:ascii="Times New Roman" w:hAnsi="Times New Roman"/>
                <w:sz w:val="24"/>
              </w:rPr>
              <w:t>vērtspapīrošanas</w:t>
            </w:r>
            <w:proofErr w:type="spellEnd"/>
            <w:r>
              <w:rPr>
                <w:rFonts w:ascii="Times New Roman" w:hAnsi="Times New Roman"/>
                <w:sz w:val="24"/>
              </w:rPr>
              <w:t xml:space="preserve"> riska darījumi un uz kuriem attiecas Regulas (ES) Nr. 575/2013 147. panta 2. punkta f) apakšpunkts.</w:t>
            </w:r>
          </w:p>
          <w:p w14:paraId="5A4CEC64" w14:textId="084E95CE" w:rsidR="002509B1" w:rsidRPr="000B66BC" w:rsidDel="00B9734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Iestādes šo vērtību norāda, atņemot IRB riska darījumus, kuros netiek pildītas saistības.</w:t>
            </w:r>
          </w:p>
        </w:tc>
      </w:tr>
      <w:tr w:rsidR="002A54FF" w:rsidRPr="00E75BB8" w14:paraId="2D8DCA0F" w14:textId="77777777" w:rsidTr="000B66BC">
        <w:trPr>
          <w:trHeight w:val="71"/>
        </w:trPr>
        <w:tc>
          <w:tcPr>
            <w:tcW w:w="1559" w:type="dxa"/>
            <w:shd w:val="clear" w:color="auto" w:fill="FFFFFF"/>
          </w:tcPr>
          <w:p w14:paraId="59B7F740" w14:textId="0030030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{0300;0030}</w:t>
            </w:r>
          </w:p>
        </w:tc>
        <w:tc>
          <w:tcPr>
            <w:tcW w:w="7406" w:type="dxa"/>
            <w:shd w:val="clear" w:color="auto" w:fill="FFFFFF"/>
          </w:tcPr>
          <w:p w14:paraId="0195360F" w14:textId="4CF13008"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No kā: </w:t>
            </w:r>
            <w:proofErr w:type="spellStart"/>
            <w:r>
              <w:rPr>
                <w:rFonts w:ascii="Times New Roman" w:hAnsi="Times New Roman"/>
                <w:b/>
                <w:sz w:val="24"/>
              </w:rPr>
              <w:t>Vērtspapīrošanas</w:t>
            </w:r>
            <w:proofErr w:type="spellEnd"/>
            <w:r>
              <w:rPr>
                <w:rFonts w:ascii="Times New Roman" w:hAnsi="Times New Roman"/>
                <w:b/>
                <w:sz w:val="24"/>
              </w:rPr>
              <w:t xml:space="preserve"> riska darījumi – </w:t>
            </w:r>
            <w:r>
              <w:rPr>
                <w:rFonts w:ascii="Times New Roman" w:hAnsi="Times New Roman"/>
                <w:b/>
                <w:i/>
                <w:iCs/>
                <w:sz w:val="24"/>
              </w:rPr>
              <w:t>RWEA</w:t>
            </w:r>
            <w:r>
              <w:rPr>
                <w:rFonts w:ascii="Times New Roman" w:hAnsi="Times New Roman"/>
                <w:b/>
                <w:sz w:val="24"/>
              </w:rPr>
              <w:t xml:space="preserve"> – SA riska darījumi</w:t>
            </w:r>
          </w:p>
          <w:p w14:paraId="583F2964" w14:textId="3E06746D"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 xml:space="preserve">To aktīvu riska darījumu riska svērtā vērtība, kas ir </w:t>
            </w:r>
            <w:r>
              <w:rPr>
                <w:rFonts w:ascii="Times New Roman" w:hAnsi="Times New Roman"/>
                <w:i/>
                <w:iCs/>
                <w:sz w:val="24"/>
              </w:rPr>
              <w:t>SA</w:t>
            </w:r>
            <w:r>
              <w:rPr>
                <w:rFonts w:ascii="Times New Roman" w:hAnsi="Times New Roman"/>
                <w:sz w:val="24"/>
              </w:rPr>
              <w:t xml:space="preserve"> </w:t>
            </w:r>
            <w:proofErr w:type="spellStart"/>
            <w:r>
              <w:rPr>
                <w:rFonts w:ascii="Times New Roman" w:hAnsi="Times New Roman"/>
                <w:sz w:val="24"/>
              </w:rPr>
              <w:t>vērtspapīrošanas</w:t>
            </w:r>
            <w:proofErr w:type="spellEnd"/>
            <w:r>
              <w:rPr>
                <w:rFonts w:ascii="Times New Roman" w:hAnsi="Times New Roman"/>
                <w:sz w:val="24"/>
              </w:rPr>
              <w:t xml:space="preserve"> riska darījumi un uz kuriem attiecas Regulas (ES) Nr. 575/2013 112. panta m) punkts.</w:t>
            </w:r>
          </w:p>
          <w:p w14:paraId="34AEB620" w14:textId="279486F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Iestādes šo vērtību norāda, atņemot </w:t>
            </w:r>
            <w:r>
              <w:rPr>
                <w:rFonts w:ascii="Times New Roman" w:hAnsi="Times New Roman"/>
                <w:i/>
                <w:iCs/>
                <w:sz w:val="24"/>
              </w:rPr>
              <w:t>SA</w:t>
            </w:r>
            <w:r>
              <w:rPr>
                <w:rFonts w:ascii="Times New Roman" w:hAnsi="Times New Roman"/>
                <w:sz w:val="24"/>
              </w:rPr>
              <w:t xml:space="preserve"> riska darījumus, kuros netiek pildītas saistības.</w:t>
            </w:r>
          </w:p>
        </w:tc>
      </w:tr>
      <w:tr w:rsidR="002A54FF" w:rsidRPr="00E75BB8" w14:paraId="4AF9EC67" w14:textId="77777777" w:rsidTr="000B66BC">
        <w:trPr>
          <w:trHeight w:val="71"/>
        </w:trPr>
        <w:tc>
          <w:tcPr>
            <w:tcW w:w="1559" w:type="dxa"/>
            <w:shd w:val="clear" w:color="auto" w:fill="FFFFFF"/>
          </w:tcPr>
          <w:p w14:paraId="338D7286" w14:textId="4155BC0C"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{0300;0040}</w:t>
            </w:r>
          </w:p>
        </w:tc>
        <w:tc>
          <w:tcPr>
            <w:tcW w:w="7406" w:type="dxa"/>
            <w:shd w:val="clear" w:color="auto" w:fill="FFFFFF"/>
          </w:tcPr>
          <w:p w14:paraId="546F46AF" w14:textId="111BE038"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No kā: </w:t>
            </w:r>
            <w:proofErr w:type="spellStart"/>
            <w:r>
              <w:rPr>
                <w:rFonts w:ascii="Times New Roman" w:hAnsi="Times New Roman"/>
                <w:b/>
                <w:sz w:val="24"/>
              </w:rPr>
              <w:t>Vērtspapīrošanas</w:t>
            </w:r>
            <w:proofErr w:type="spellEnd"/>
            <w:r>
              <w:rPr>
                <w:rFonts w:ascii="Times New Roman" w:hAnsi="Times New Roman"/>
                <w:b/>
                <w:sz w:val="24"/>
              </w:rPr>
              <w:t xml:space="preserve"> riska darījumi – </w:t>
            </w:r>
            <w:r>
              <w:rPr>
                <w:rFonts w:ascii="Times New Roman" w:hAnsi="Times New Roman"/>
                <w:b/>
                <w:i/>
                <w:iCs/>
                <w:sz w:val="24"/>
              </w:rPr>
              <w:t>RWEA</w:t>
            </w:r>
            <w:r>
              <w:rPr>
                <w:rFonts w:ascii="Times New Roman" w:hAnsi="Times New Roman"/>
                <w:b/>
                <w:sz w:val="24"/>
              </w:rPr>
              <w:t xml:space="preserve"> – IRB riska darījumi</w:t>
            </w:r>
          </w:p>
          <w:p w14:paraId="745FCC52" w14:textId="18AD3DDC"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To aktīvu riska darījumu riska svērtā vērtība, kas ir IRB </w:t>
            </w:r>
            <w:proofErr w:type="spellStart"/>
            <w:r>
              <w:rPr>
                <w:rFonts w:ascii="Times New Roman" w:hAnsi="Times New Roman"/>
                <w:sz w:val="24"/>
              </w:rPr>
              <w:t>vērtspapīrošanas</w:t>
            </w:r>
            <w:proofErr w:type="spellEnd"/>
            <w:r>
              <w:rPr>
                <w:rFonts w:ascii="Times New Roman" w:hAnsi="Times New Roman"/>
                <w:sz w:val="24"/>
              </w:rPr>
              <w:t xml:space="preserve"> riska darījumi un uz kuriem attiecas Regulas (ES) Nr. 575/2013 147. panta 2. punkta f) apakšpunkts.</w:t>
            </w:r>
          </w:p>
          <w:p w14:paraId="6DCC2024" w14:textId="3E5BF347"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Iestādes šo vērtību norāda, atņemot IRB riska darījumus, kuros netiek pildītas saistības.</w:t>
            </w:r>
          </w:p>
        </w:tc>
      </w:tr>
      <w:tr w:rsidR="002A54FF" w:rsidRPr="00E75BB8" w14:paraId="19980126" w14:textId="77777777" w:rsidTr="000B66BC">
        <w:trPr>
          <w:trHeight w:val="71"/>
        </w:trPr>
        <w:tc>
          <w:tcPr>
            <w:tcW w:w="1559" w:type="dxa"/>
            <w:shd w:val="clear" w:color="auto" w:fill="FFFFFF"/>
          </w:tcPr>
          <w:p w14:paraId="70EF17D6" w14:textId="2BA73667"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{0310;0010}</w:t>
            </w:r>
          </w:p>
        </w:tc>
        <w:tc>
          <w:tcPr>
            <w:tcW w:w="7406" w:type="dxa"/>
            <w:shd w:val="clear" w:color="auto" w:fill="FFFFFF"/>
          </w:tcPr>
          <w:p w14:paraId="1F726694" w14:textId="75DDDC0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Tirdzniecības finansējums (izziņas postenis) – Sviras rādītāja riska darījuma vērtība – </w:t>
            </w:r>
            <w:r>
              <w:rPr>
                <w:rFonts w:ascii="Times New Roman" w:hAnsi="Times New Roman"/>
                <w:b/>
                <w:i/>
                <w:iCs/>
                <w:sz w:val="24"/>
              </w:rPr>
              <w:t>SA</w:t>
            </w:r>
            <w:r>
              <w:rPr>
                <w:rFonts w:ascii="Times New Roman" w:hAnsi="Times New Roman"/>
                <w:b/>
                <w:sz w:val="24"/>
              </w:rPr>
              <w:t xml:space="preserve"> riska darījumi</w:t>
            </w:r>
          </w:p>
          <w:p w14:paraId="40329EE0" w14:textId="6890CB13"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Ar aizdevumiem preču vai pakalpojumu eksportētājam vai importētājam, izmantojot importa un eksporta kredītus un līdzīgus darījumus, saistītu bilances posteņu sviras rādītāja riska darījuma vērtība.</w:t>
            </w:r>
          </w:p>
          <w:p w14:paraId="07887909" w14:textId="376C2A24"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 xml:space="preserve">Iestādes šo vērtību norāda, atņemot </w:t>
            </w:r>
            <w:r>
              <w:rPr>
                <w:rFonts w:ascii="Times New Roman" w:hAnsi="Times New Roman"/>
                <w:i/>
                <w:iCs/>
                <w:sz w:val="24"/>
              </w:rPr>
              <w:t>SA</w:t>
            </w:r>
            <w:r>
              <w:rPr>
                <w:rFonts w:ascii="Times New Roman" w:hAnsi="Times New Roman"/>
                <w:sz w:val="24"/>
              </w:rPr>
              <w:t xml:space="preserve"> riska darījumus, kuros netiek pildītas saistības.</w:t>
            </w:r>
          </w:p>
        </w:tc>
      </w:tr>
      <w:tr w:rsidR="002A54FF" w:rsidRPr="00E75BB8" w14:paraId="7849841B" w14:textId="77777777" w:rsidTr="000B66BC">
        <w:trPr>
          <w:trHeight w:val="71"/>
        </w:trPr>
        <w:tc>
          <w:tcPr>
            <w:tcW w:w="1559" w:type="dxa"/>
            <w:shd w:val="clear" w:color="auto" w:fill="FFFFFF"/>
          </w:tcPr>
          <w:p w14:paraId="7770CF17" w14:textId="209AA225"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{0310;0020}</w:t>
            </w:r>
          </w:p>
        </w:tc>
        <w:tc>
          <w:tcPr>
            <w:tcW w:w="7406" w:type="dxa"/>
            <w:shd w:val="clear" w:color="auto" w:fill="FFFFFF"/>
          </w:tcPr>
          <w:p w14:paraId="3DC59FB7" w14:textId="38AD74C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Tirdzniecības finansējums (izziņas postenis) – Sviras rādītāja riska darījumu vērtība – IRB riska darījumi</w:t>
            </w:r>
          </w:p>
          <w:p w14:paraId="0A442979" w14:textId="3B301CAB" w:rsidR="00BE6AC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Ar aizdevumiem preču vai pakalpojumu eksportētājam vai importētājam, izmantojot importa un eksporta kredītus un līdzīgus darījumus, saistītu bilances posteņu riska darījumu vērtības mērs.</w:t>
            </w:r>
          </w:p>
          <w:p w14:paraId="009892EF" w14:textId="4CD440BB"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Iestādes šo vērtību norāda, atņemot IRB riska darījumus, kuros netiek pildītas saistības.</w:t>
            </w:r>
          </w:p>
        </w:tc>
      </w:tr>
      <w:tr w:rsidR="002A54FF" w:rsidRPr="00E75BB8" w14:paraId="0944BE23" w14:textId="77777777" w:rsidTr="000B66BC">
        <w:trPr>
          <w:trHeight w:val="71"/>
        </w:trPr>
        <w:tc>
          <w:tcPr>
            <w:tcW w:w="1559" w:type="dxa"/>
            <w:shd w:val="clear" w:color="auto" w:fill="FFFFFF"/>
          </w:tcPr>
          <w:p w14:paraId="375E033C" w14:textId="2994690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{0310;0030}</w:t>
            </w:r>
          </w:p>
        </w:tc>
        <w:tc>
          <w:tcPr>
            <w:tcW w:w="7406" w:type="dxa"/>
            <w:shd w:val="clear" w:color="auto" w:fill="FFFFFF"/>
          </w:tcPr>
          <w:p w14:paraId="2CAEEABE" w14:textId="362B2A0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Tirdzniecības finansējums (izziņas postenis) – </w:t>
            </w:r>
            <w:r>
              <w:rPr>
                <w:rFonts w:ascii="Times New Roman" w:hAnsi="Times New Roman"/>
                <w:b/>
                <w:i/>
                <w:iCs/>
                <w:sz w:val="24"/>
              </w:rPr>
              <w:t>RWEA</w:t>
            </w:r>
            <w:r>
              <w:rPr>
                <w:rFonts w:ascii="Times New Roman" w:hAnsi="Times New Roman"/>
                <w:b/>
                <w:sz w:val="24"/>
              </w:rPr>
              <w:t xml:space="preserve"> – </w:t>
            </w:r>
            <w:r>
              <w:rPr>
                <w:rFonts w:ascii="Times New Roman" w:hAnsi="Times New Roman"/>
                <w:b/>
                <w:i/>
                <w:iCs/>
                <w:sz w:val="24"/>
              </w:rPr>
              <w:t>SA</w:t>
            </w:r>
            <w:r>
              <w:rPr>
                <w:rFonts w:ascii="Times New Roman" w:hAnsi="Times New Roman"/>
                <w:b/>
                <w:sz w:val="24"/>
              </w:rPr>
              <w:t xml:space="preserve"> riska darījumi</w:t>
            </w:r>
          </w:p>
          <w:p w14:paraId="08DFF23E" w14:textId="3FC89434"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Ar aizdevumiem preču vai pakalpojumu eksportētājam vai importētājam, izmantojot importa un eksporta kredītus un līdzīgus darījumus, saistītu bilances posteņu riska darījumu riska svērtā vērtība.</w:t>
            </w:r>
          </w:p>
          <w:p w14:paraId="1392FEC6" w14:textId="0CEA5EB1"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Iestādes šo vērtību norāda, atņemot </w:t>
            </w:r>
            <w:r>
              <w:rPr>
                <w:rFonts w:ascii="Times New Roman" w:hAnsi="Times New Roman"/>
                <w:i/>
                <w:iCs/>
                <w:sz w:val="24"/>
              </w:rPr>
              <w:t>SA</w:t>
            </w:r>
            <w:r>
              <w:rPr>
                <w:rFonts w:ascii="Times New Roman" w:hAnsi="Times New Roman"/>
                <w:sz w:val="24"/>
              </w:rPr>
              <w:t xml:space="preserve"> riska darījumus, kuros netiek pildītas saistības.</w:t>
            </w:r>
          </w:p>
        </w:tc>
      </w:tr>
      <w:tr w:rsidR="002A54FF" w:rsidRPr="00E75BB8" w14:paraId="2EAEC41E" w14:textId="77777777" w:rsidTr="000B66BC">
        <w:trPr>
          <w:trHeight w:val="71"/>
        </w:trPr>
        <w:tc>
          <w:tcPr>
            <w:tcW w:w="1559" w:type="dxa"/>
            <w:shd w:val="clear" w:color="auto" w:fill="FFFFFF"/>
          </w:tcPr>
          <w:p w14:paraId="2D3EEDC7" w14:textId="50ACD0A0"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{0310;0040}</w:t>
            </w:r>
          </w:p>
        </w:tc>
        <w:tc>
          <w:tcPr>
            <w:tcW w:w="7406" w:type="dxa"/>
            <w:shd w:val="clear" w:color="auto" w:fill="FFFFFF"/>
          </w:tcPr>
          <w:p w14:paraId="6234B372" w14:textId="0FE9A0F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Tirdzniecības finansējums (izziņas postenis) – </w:t>
            </w:r>
            <w:r>
              <w:rPr>
                <w:rFonts w:ascii="Times New Roman" w:hAnsi="Times New Roman"/>
                <w:b/>
                <w:i/>
                <w:iCs/>
                <w:sz w:val="24"/>
              </w:rPr>
              <w:t>RWEA</w:t>
            </w:r>
            <w:r>
              <w:rPr>
                <w:rFonts w:ascii="Times New Roman" w:hAnsi="Times New Roman"/>
                <w:b/>
                <w:sz w:val="24"/>
              </w:rPr>
              <w:t xml:space="preserve"> – IRB riska darījumi</w:t>
            </w:r>
          </w:p>
          <w:p w14:paraId="7C41D05F" w14:textId="163F70F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Ar aizdevumiem preču vai pakalpojumu eksportētājam vai importētājam, izmantojot importa un eksporta kredītus un līdzīgus darījumus, saistītu bilances posteņu riska darījumu riska svērtā vērtība.</w:t>
            </w:r>
          </w:p>
          <w:p w14:paraId="69D1BF8F" w14:textId="1ADC695A"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Iestādes šo vērtību norāda, atņemot IRB riska darījumus, kuros netiek pildītas saistības.</w:t>
            </w:r>
          </w:p>
        </w:tc>
      </w:tr>
      <w:tr w:rsidR="002A54FF" w:rsidRPr="00E75BB8" w14:paraId="0F47267B" w14:textId="77777777" w:rsidTr="000B66BC">
        <w:trPr>
          <w:trHeight w:val="71"/>
        </w:trPr>
        <w:tc>
          <w:tcPr>
            <w:tcW w:w="1559" w:type="dxa"/>
            <w:shd w:val="clear" w:color="auto" w:fill="FFFFFF"/>
          </w:tcPr>
          <w:p w14:paraId="01A66D59" w14:textId="16BAA6D6"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{0320;0010}</w:t>
            </w:r>
          </w:p>
        </w:tc>
        <w:tc>
          <w:tcPr>
            <w:tcW w:w="7406" w:type="dxa"/>
            <w:shd w:val="clear" w:color="auto" w:fill="FFFFFF"/>
          </w:tcPr>
          <w:p w14:paraId="68BD9684" w14:textId="77777777"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No kā: Saskaņā ar oficiālu eksporta kredītu apdrošināšanas shēmu – Sviras rādītāja riska darījuma vērtība – </w:t>
            </w:r>
            <w:r>
              <w:rPr>
                <w:rFonts w:ascii="Times New Roman" w:hAnsi="Times New Roman"/>
                <w:b/>
                <w:i/>
                <w:iCs/>
                <w:sz w:val="24"/>
              </w:rPr>
              <w:t>SA</w:t>
            </w:r>
            <w:r>
              <w:rPr>
                <w:rFonts w:ascii="Times New Roman" w:hAnsi="Times New Roman"/>
                <w:b/>
                <w:sz w:val="24"/>
              </w:rPr>
              <w:t xml:space="preserve"> riska darījumi</w:t>
            </w:r>
          </w:p>
          <w:p w14:paraId="77C2AA79" w14:textId="008650ED" w:rsidR="00FC5086"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Ar tirdzniecības finansējumu saskaņā ar oficiālu eksporta kredītu apdrošināšanas shēmu saistītu bilances posteņu sviras rādītāja riska darījuma vērtība.</w:t>
            </w:r>
          </w:p>
          <w:p w14:paraId="724169CB" w14:textId="4B72375C" w:rsidR="00F4754B"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rPr>
              <w:t xml:space="preserve">Pārskata sniegšanas vajadzībām LR4 veidnē oficiāla eksporta kredītu apdrošināšanas shēma attiecas uz oficiālo atbalstu, ko sniedz valdība vai cita struktūra, piemēram eksporta kredītu aģentūra, tostarp tādā veidā kā tiešie kredīti/finansējums, refinansējums, procentu likmju atbalsts (ja kredīta darbības laikā tiek garantēta nemainīga procentu likme), atbalsta finansējums (kredīti un dotācijas), eksporta kredītu apdrošināšana un garantijas. </w:t>
            </w:r>
          </w:p>
          <w:p w14:paraId="6749A4E0" w14:textId="3BDB38AA"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 xml:space="preserve">Iestādes šo vērtību norāda, atņemot </w:t>
            </w:r>
            <w:r>
              <w:rPr>
                <w:rFonts w:ascii="Times New Roman" w:hAnsi="Times New Roman"/>
                <w:i/>
                <w:iCs/>
                <w:sz w:val="24"/>
              </w:rPr>
              <w:t>SA</w:t>
            </w:r>
            <w:r>
              <w:rPr>
                <w:rFonts w:ascii="Times New Roman" w:hAnsi="Times New Roman"/>
                <w:sz w:val="24"/>
              </w:rPr>
              <w:t xml:space="preserve"> riska darījumus, kuros netiek pildītas saistības.</w:t>
            </w:r>
          </w:p>
        </w:tc>
      </w:tr>
      <w:tr w:rsidR="002A54FF" w:rsidRPr="00E75BB8" w14:paraId="324D0C14" w14:textId="77777777" w:rsidTr="000B66BC">
        <w:trPr>
          <w:trHeight w:val="71"/>
        </w:trPr>
        <w:tc>
          <w:tcPr>
            <w:tcW w:w="1559" w:type="dxa"/>
            <w:shd w:val="clear" w:color="auto" w:fill="FFFFFF"/>
          </w:tcPr>
          <w:p w14:paraId="379BEEE3" w14:textId="251ACAEF"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{0320;0020}</w:t>
            </w:r>
          </w:p>
        </w:tc>
        <w:tc>
          <w:tcPr>
            <w:tcW w:w="7406" w:type="dxa"/>
            <w:shd w:val="clear" w:color="auto" w:fill="FFFFFF"/>
          </w:tcPr>
          <w:p w14:paraId="487C59EC" w14:textId="64199DCF" w:rsidR="002509B1"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No kā: Saskaņā ar oficiālu eksporta kredītu apdrošināšanas shēmu – Sviras rādītāja riska darījuma vērtība – IRB riska darījumi</w:t>
            </w:r>
          </w:p>
          <w:p w14:paraId="28C477A6" w14:textId="45C80184" w:rsidR="00FC5086"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Ar tirdzniecības finansējumu saskaņā ar oficiālu eksporta kredītu apdrošināšanas shēmu saistītu bilances posteņu sviras rādītāja riska darījumu vērtība. </w:t>
            </w:r>
          </w:p>
          <w:p w14:paraId="453591E6" w14:textId="24EEED56" w:rsidR="009C4E79"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rPr>
              <w:t>Pārskata sniegšanas vajadzībām LR4 veidnē oficiāla eksporta kredītu apdrošināšanas shēma attiecas uz oficiālo atbalstu, ko sniedz valdība vai cita struktūra, piemēram eksporta kredītu aģentūra, tostarp tādā veidā kā tiešie kredīti/finansējums, refinansējums, procentu likmju atbalsts (ja kredīta darbības laikā tiek garantēta nemainīga procentu likme), atbalsta finansējums (kredīti un dotācijas), eksporta kredītu apdrošināšana un garantijas.</w:t>
            </w:r>
          </w:p>
          <w:p w14:paraId="121B09A0" w14:textId="7D13C18C" w:rsidR="002509B1" w:rsidRPr="000B66BC" w:rsidDel="00600AB1"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Iestādes šo vērtību norāda, atņemot IRB riska darījumus, kuros netiek pildītas saistības.</w:t>
            </w:r>
          </w:p>
        </w:tc>
      </w:tr>
      <w:tr w:rsidR="002A54FF" w:rsidRPr="00E75BB8" w14:paraId="5958CABD" w14:textId="77777777" w:rsidTr="000B66BC">
        <w:trPr>
          <w:trHeight w:val="71"/>
        </w:trPr>
        <w:tc>
          <w:tcPr>
            <w:tcW w:w="1559" w:type="dxa"/>
            <w:shd w:val="clear" w:color="auto" w:fill="FFFFFF"/>
          </w:tcPr>
          <w:p w14:paraId="50D523A5" w14:textId="2D5719F5"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{0320;0030}</w:t>
            </w:r>
          </w:p>
        </w:tc>
        <w:tc>
          <w:tcPr>
            <w:tcW w:w="7406" w:type="dxa"/>
            <w:shd w:val="clear" w:color="auto" w:fill="FFFFFF"/>
          </w:tcPr>
          <w:p w14:paraId="1BC55C9E" w14:textId="018B97B0"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No kā: Saskaņā ar oficiālu eksporta kredītu apdrošināšanas shēmu – </w:t>
            </w:r>
            <w:r>
              <w:rPr>
                <w:rFonts w:ascii="Times New Roman" w:hAnsi="Times New Roman"/>
                <w:b/>
                <w:i/>
                <w:iCs/>
                <w:sz w:val="24"/>
              </w:rPr>
              <w:t>RWEA</w:t>
            </w:r>
            <w:r>
              <w:rPr>
                <w:rFonts w:ascii="Times New Roman" w:hAnsi="Times New Roman"/>
                <w:b/>
                <w:sz w:val="24"/>
              </w:rPr>
              <w:t xml:space="preserve"> – SA riska darījumi</w:t>
            </w:r>
          </w:p>
          <w:p w14:paraId="5BDA0B92" w14:textId="79F518BC" w:rsidR="005E0E4A"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Ar tirdzniecības finansējumu saskaņā ar oficiālu eksporta kredītu apdrošināšanas shēmu saistītu bilances posteņu riska darījumu riska svērtā vērtība. </w:t>
            </w:r>
          </w:p>
          <w:p w14:paraId="04A05DE3" w14:textId="09DF700B" w:rsidR="00F4754B"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rPr>
              <w:lastRenderedPageBreak/>
              <w:t xml:space="preserve">Pārskata sniegšanas vajadzībām LR4 veidnē oficiāla eksporta kredītu apdrošināšanas shēma attiecas uz oficiālo atbalstu, ko sniedz valdība vai cita struktūra, piemēram eksporta kredītu aģentūra, tostarp tādā veidā kā tiešie kredīti/finansējums, refinansējums, procentu likmju atbalsts (ja kredīta darbības laikā tiek garantēta nemainīga procentu likme), atbalsta finansējums (kredīti un dotācijas), eksporta kredītu apdrošināšana un garantijas. </w:t>
            </w:r>
          </w:p>
          <w:p w14:paraId="4F35ADC9" w14:textId="4AC2CE52"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Iestādes šo vērtību norāda, atņemot SA riska darījumus, kuros netiek pildītas saistības.</w:t>
            </w:r>
          </w:p>
        </w:tc>
      </w:tr>
      <w:tr w:rsidR="002A54FF" w:rsidRPr="00E75BB8" w14:paraId="50DFFA63" w14:textId="77777777" w:rsidTr="000B66BC">
        <w:trPr>
          <w:trHeight w:val="71"/>
        </w:trPr>
        <w:tc>
          <w:tcPr>
            <w:tcW w:w="1559" w:type="dxa"/>
            <w:shd w:val="clear" w:color="auto" w:fill="FFFFFF"/>
          </w:tcPr>
          <w:p w14:paraId="3E66A2E1" w14:textId="52C5C76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{0320;0040}</w:t>
            </w:r>
          </w:p>
        </w:tc>
        <w:tc>
          <w:tcPr>
            <w:tcW w:w="7406" w:type="dxa"/>
            <w:shd w:val="clear" w:color="auto" w:fill="FFFFFF"/>
          </w:tcPr>
          <w:p w14:paraId="02837300" w14:textId="087FB5C1"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No kā: Saskaņā ar oficiālu eksporta kredītu apdrošināšanas shēmu – </w:t>
            </w:r>
            <w:r>
              <w:rPr>
                <w:rFonts w:ascii="Times New Roman" w:hAnsi="Times New Roman"/>
                <w:b/>
                <w:i/>
                <w:iCs/>
                <w:sz w:val="24"/>
              </w:rPr>
              <w:t>RWEA</w:t>
            </w:r>
            <w:r>
              <w:rPr>
                <w:rFonts w:ascii="Times New Roman" w:hAnsi="Times New Roman"/>
                <w:b/>
                <w:sz w:val="24"/>
              </w:rPr>
              <w:t xml:space="preserve"> – IRB riska darījumi</w:t>
            </w:r>
          </w:p>
          <w:p w14:paraId="7E51B295" w14:textId="2E71FA87" w:rsidR="005E0E4A"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Ar tirdzniecības finansējumu saskaņā ar oficiālu eksporta kredītu apdrošināšanas shēmu saistītu bilances posteņu riska darījumu riska svērtā vērtība. </w:t>
            </w:r>
          </w:p>
          <w:p w14:paraId="22173B42" w14:textId="69585F6C" w:rsidR="009C4E79"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rPr>
              <w:t xml:space="preserve">Pārskata sniegšanas vajadzībām LR4 veidnē oficiāla eksporta kredītu apdrošināšanas shēma attiecas uz oficiālo atbalstu, ko sniedz valdība vai cita struktūra, piemēram eksporta kredītu aģentūra, tostarp tādā veidā kā tiešie kredīti/finansējums, refinansējums, procentu likmju atbalsts (ja kredīta darbības laikā tiek garantēta nemainīga procentu likme), atbalsta finansējums (kredīti un dotācijas), eksporta kredītu apdrošināšana un garantijas. </w:t>
            </w:r>
          </w:p>
          <w:p w14:paraId="16D3A7FB" w14:textId="65A4E59B"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Iestādes šo vērtību norāda, atņemot IRB riska darījumus, kuros netiek pildītas saistības.</w:t>
            </w:r>
          </w:p>
        </w:tc>
      </w:tr>
    </w:tbl>
    <w:p w14:paraId="6F5938BB" w14:textId="71A3874E" w:rsidR="004C0459" w:rsidRPr="000B66BC" w:rsidRDefault="004C0459" w:rsidP="000B66BC">
      <w:pPr>
        <w:pStyle w:val="BodyText1"/>
        <w:spacing w:after="240"/>
        <w:ind w:left="720"/>
        <w:rPr>
          <w:rFonts w:ascii="Times New Roman" w:hAnsi="Times New Roman"/>
          <w:b/>
          <w:sz w:val="24"/>
          <w:szCs w:val="24"/>
        </w:rPr>
      </w:pPr>
      <w:bookmarkStart w:id="74" w:name="_Toc351048511"/>
      <w:bookmarkStart w:id="75" w:name="_Toc359414290"/>
      <w:bookmarkStart w:id="76" w:name="_Toc423089075"/>
      <w:bookmarkEnd w:id="72"/>
    </w:p>
    <w:p w14:paraId="3B957644" w14:textId="7AA08C09" w:rsidR="00217D1F" w:rsidRPr="000B66BC" w:rsidRDefault="005F4574" w:rsidP="000B66BC">
      <w:pPr>
        <w:pStyle w:val="BodyText1"/>
        <w:spacing w:after="240"/>
        <w:ind w:left="357" w:hanging="357"/>
        <w:outlineLvl w:val="1"/>
        <w:rPr>
          <w:rFonts w:ascii="Times New Roman" w:hAnsi="Times New Roman"/>
          <w:b/>
          <w:sz w:val="24"/>
          <w:szCs w:val="24"/>
        </w:rPr>
      </w:pPr>
      <w:bookmarkStart w:id="77" w:name="_Toc188889284"/>
      <w:r>
        <w:rPr>
          <w:rFonts w:ascii="Times New Roman" w:hAnsi="Times New Roman"/>
          <w:b/>
          <w:sz w:val="24"/>
        </w:rPr>
        <w:t>6.</w:t>
      </w:r>
      <w:r>
        <w:rPr>
          <w:rFonts w:ascii="Times New Roman" w:hAnsi="Times New Roman"/>
          <w:b/>
          <w:sz w:val="24"/>
        </w:rPr>
        <w:tab/>
        <w:t>C 44.00 – Vispārīgā informācija</w:t>
      </w:r>
      <w:bookmarkEnd w:id="74"/>
      <w:bookmarkEnd w:id="75"/>
      <w:r>
        <w:rPr>
          <w:rFonts w:ascii="Times New Roman" w:hAnsi="Times New Roman"/>
          <w:b/>
          <w:sz w:val="24"/>
        </w:rPr>
        <w:t xml:space="preserve"> (LR5)</w:t>
      </w:r>
      <w:bookmarkEnd w:id="76"/>
      <w:bookmarkEnd w:id="77"/>
    </w:p>
    <w:p w14:paraId="0762DA75" w14:textId="1CF4EE9B" w:rsidR="00F4754B" w:rsidRPr="000B66BC" w:rsidRDefault="00143C6A"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28.</w:t>
      </w:r>
      <w:r>
        <w:rPr>
          <w:rFonts w:ascii="Times New Roman" w:hAnsi="Times New Roman"/>
          <w:sz w:val="24"/>
        </w:rPr>
        <w:tab/>
        <w:t>Šeit tiek vākta papildu informācija, lai klasificētu iestādes darbības un iestādes izvēlētos regulatīvos risinājumus.</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7308"/>
      </w:tblGrid>
      <w:tr w:rsidR="00F4754B" w:rsidRPr="00E75BB8" w14:paraId="01020A4D" w14:textId="77777777" w:rsidTr="000B66BC">
        <w:tc>
          <w:tcPr>
            <w:tcW w:w="1730" w:type="dxa"/>
            <w:shd w:val="clear" w:color="auto" w:fill="D9D9D9" w:themeFill="background1" w:themeFillShade="D9"/>
          </w:tcPr>
          <w:p w14:paraId="609E7AEC" w14:textId="77777777" w:rsidR="00F4754B" w:rsidRPr="000B66BC" w:rsidRDefault="00F4754B" w:rsidP="000B66BC">
            <w:pPr>
              <w:pStyle w:val="BodyText1"/>
              <w:spacing w:after="240"/>
              <w:rPr>
                <w:rFonts w:ascii="Times New Roman" w:hAnsi="Times New Roman"/>
                <w:b/>
                <w:sz w:val="24"/>
                <w:szCs w:val="24"/>
              </w:rPr>
            </w:pPr>
            <w:r>
              <w:rPr>
                <w:rFonts w:ascii="Times New Roman" w:hAnsi="Times New Roman"/>
                <w:b/>
                <w:sz w:val="24"/>
              </w:rPr>
              <w:t xml:space="preserve">Rinda </w:t>
            </w:r>
          </w:p>
          <w:p w14:paraId="3ADE932A" w14:textId="77777777" w:rsidR="00F4754B" w:rsidRPr="000B66BC" w:rsidRDefault="00F4754B" w:rsidP="000B66BC">
            <w:pPr>
              <w:pStyle w:val="BodyText1"/>
              <w:spacing w:after="240"/>
              <w:rPr>
                <w:rFonts w:ascii="Times New Roman" w:hAnsi="Times New Roman"/>
                <w:b/>
                <w:bCs/>
                <w:sz w:val="24"/>
                <w:szCs w:val="24"/>
              </w:rPr>
            </w:pPr>
            <w:r>
              <w:rPr>
                <w:rFonts w:ascii="Times New Roman" w:hAnsi="Times New Roman"/>
                <w:b/>
                <w:sz w:val="24"/>
              </w:rPr>
              <w:t>un sleja</w:t>
            </w:r>
          </w:p>
        </w:tc>
        <w:tc>
          <w:tcPr>
            <w:tcW w:w="7308" w:type="dxa"/>
            <w:shd w:val="clear" w:color="auto" w:fill="D9D9D9" w:themeFill="background1" w:themeFillShade="D9"/>
          </w:tcPr>
          <w:p w14:paraId="07C08D86" w14:textId="77777777" w:rsidR="00F4754B" w:rsidRPr="000B66BC" w:rsidRDefault="00F4754B" w:rsidP="000B66BC">
            <w:pPr>
              <w:pStyle w:val="BodyText1"/>
              <w:spacing w:after="240"/>
              <w:rPr>
                <w:rFonts w:ascii="Times New Roman" w:hAnsi="Times New Roman"/>
                <w:b/>
                <w:bCs/>
                <w:sz w:val="24"/>
                <w:szCs w:val="24"/>
              </w:rPr>
            </w:pPr>
            <w:r>
              <w:rPr>
                <w:rFonts w:ascii="Times New Roman" w:hAnsi="Times New Roman"/>
                <w:b/>
                <w:sz w:val="24"/>
              </w:rPr>
              <w:t>Norādes</w:t>
            </w:r>
          </w:p>
        </w:tc>
      </w:tr>
      <w:tr w:rsidR="00F4754B" w:rsidRPr="00E75BB8" w14:paraId="55A6FD39" w14:textId="77777777" w:rsidTr="000B66BC">
        <w:tc>
          <w:tcPr>
            <w:tcW w:w="1730" w:type="dxa"/>
          </w:tcPr>
          <w:p w14:paraId="4651DD6D" w14:textId="2C8898E2"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{0010;0010}</w:t>
            </w:r>
          </w:p>
        </w:tc>
        <w:tc>
          <w:tcPr>
            <w:tcW w:w="7308" w:type="dxa"/>
          </w:tcPr>
          <w:p w14:paraId="4DA873F1"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Iestādes uzņēmuma struktūra</w:t>
            </w:r>
          </w:p>
          <w:p w14:paraId="64CCC795"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Iestāde klasificē savu uzņēmuma struktūru saskaņā ar šādām turpmāk norādītajām kategorijām:</w:t>
            </w:r>
          </w:p>
          <w:p w14:paraId="1F1192E5"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rPr>
                <w:rFonts w:ascii="Times New Roman" w:hAnsi="Times New Roman"/>
                <w:sz w:val="24"/>
              </w:rPr>
              <w:tab/>
              <w:t>akciju sabiedrība;</w:t>
            </w:r>
          </w:p>
          <w:p w14:paraId="003D2706"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rPr>
                <w:rFonts w:ascii="Times New Roman" w:hAnsi="Times New Roman"/>
                <w:sz w:val="24"/>
              </w:rPr>
              <w:tab/>
              <w:t>savstarpēja/kooperatīva;</w:t>
            </w:r>
          </w:p>
          <w:p w14:paraId="6192BE9A" w14:textId="31FF6E20" w:rsidR="00BE6AC4"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rPr>
                <w:rFonts w:ascii="Times New Roman" w:hAnsi="Times New Roman"/>
                <w:sz w:val="24"/>
              </w:rPr>
              <w:tab/>
              <w:t>cita sabiedrība, kas nav akciju sabiedrība.</w:t>
            </w:r>
          </w:p>
        </w:tc>
      </w:tr>
      <w:tr w:rsidR="00F4754B" w:rsidRPr="00E75BB8" w14:paraId="0E805489" w14:textId="77777777" w:rsidTr="000B66BC">
        <w:tc>
          <w:tcPr>
            <w:tcW w:w="1730" w:type="dxa"/>
          </w:tcPr>
          <w:p w14:paraId="024D6767" w14:textId="451206B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{0020;0010}</w:t>
            </w:r>
          </w:p>
        </w:tc>
        <w:tc>
          <w:tcPr>
            <w:tcW w:w="7308" w:type="dxa"/>
          </w:tcPr>
          <w:p w14:paraId="6E8478E9"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Atvasinātajiem instrumentiem piemērotā procedūra</w:t>
            </w:r>
          </w:p>
          <w:p w14:paraId="32814C5E"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Iestāde norāda atvasinātajiem instrumentiem piemēroto regulatīvo procedūru saskaņā ar šādām turpmāk norādītajām kategorijām:</w:t>
            </w:r>
          </w:p>
          <w:p w14:paraId="255B888B" w14:textId="0A6301B4" w:rsidR="00B04A5F" w:rsidRPr="000B66BC" w:rsidRDefault="00B04A5F" w:rsidP="000B66BC">
            <w:pPr>
              <w:pStyle w:val="BodyText1"/>
              <w:spacing w:after="240" w:line="240" w:lineRule="auto"/>
              <w:rPr>
                <w:rFonts w:ascii="Times New Roman" w:hAnsi="Times New Roman"/>
                <w:bCs/>
                <w:sz w:val="24"/>
                <w:szCs w:val="24"/>
              </w:rPr>
            </w:pPr>
            <w:r>
              <w:rPr>
                <w:rFonts w:ascii="Times New Roman" w:hAnsi="Times New Roman"/>
                <w:sz w:val="24"/>
              </w:rPr>
              <w:t>- Standartizētā pieeja darījuma partnera kredītriskam (</w:t>
            </w:r>
            <w:r>
              <w:rPr>
                <w:rFonts w:ascii="Times New Roman" w:hAnsi="Times New Roman"/>
                <w:i/>
                <w:iCs/>
                <w:sz w:val="24"/>
              </w:rPr>
              <w:t>SA-CCR</w:t>
            </w:r>
            <w:r>
              <w:rPr>
                <w:rFonts w:ascii="Times New Roman" w:hAnsi="Times New Roman"/>
                <w:sz w:val="24"/>
              </w:rPr>
              <w:t>);</w:t>
            </w:r>
          </w:p>
          <w:p w14:paraId="43920088" w14:textId="66D48971" w:rsidR="00B04A5F" w:rsidRPr="000B66BC" w:rsidRDefault="00B04A5F" w:rsidP="000B66BC">
            <w:pPr>
              <w:pStyle w:val="BodyText1"/>
              <w:spacing w:after="240" w:line="240" w:lineRule="auto"/>
              <w:rPr>
                <w:rFonts w:ascii="Times New Roman" w:hAnsi="Times New Roman"/>
                <w:bCs/>
                <w:sz w:val="24"/>
                <w:szCs w:val="24"/>
              </w:rPr>
            </w:pPr>
            <w:r>
              <w:rPr>
                <w:rFonts w:ascii="Times New Roman" w:hAnsi="Times New Roman"/>
                <w:sz w:val="24"/>
              </w:rPr>
              <w:t>- Vienkāršotā standartizētā pieeja darījuma partnera kredītriskam;</w:t>
            </w:r>
          </w:p>
          <w:p w14:paraId="7A9DB046" w14:textId="7690E86C" w:rsidR="00BE6AC4"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rPr>
                <w:rFonts w:ascii="Times New Roman" w:hAnsi="Times New Roman"/>
                <w:sz w:val="24"/>
              </w:rPr>
              <w:tab/>
              <w:t>Sākotnējās riska darījuma vērtības metode.</w:t>
            </w:r>
          </w:p>
        </w:tc>
      </w:tr>
      <w:tr w:rsidR="00F4754B" w:rsidRPr="00E75BB8" w14:paraId="0E0C8448" w14:textId="77777777" w:rsidTr="000B66BC">
        <w:tc>
          <w:tcPr>
            <w:tcW w:w="1730" w:type="dxa"/>
          </w:tcPr>
          <w:p w14:paraId="6C37BCD8" w14:textId="7BBC71D1"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{0040;0010}</w:t>
            </w:r>
          </w:p>
        </w:tc>
        <w:tc>
          <w:tcPr>
            <w:tcW w:w="7308" w:type="dxa"/>
          </w:tcPr>
          <w:p w14:paraId="3154A9B3"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Iestādes veids</w:t>
            </w:r>
          </w:p>
          <w:p w14:paraId="2C15E916"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Iestāde klasificē savu iestādes veidu saskaņā ar šādām turpmāk norādītajām kategorijām:</w:t>
            </w:r>
          </w:p>
          <w:p w14:paraId="5F9BB21A"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rPr>
                <w:rFonts w:ascii="Times New Roman" w:hAnsi="Times New Roman"/>
                <w:sz w:val="24"/>
              </w:rPr>
              <w:tab/>
              <w:t>universālie banku pakalpojumi (privātpersonu vai MVU apkalpošana/korporatīvo klientu apkalpošana un ieguldījumu banku pakalpojumi);</w:t>
            </w:r>
          </w:p>
          <w:p w14:paraId="730C89BA"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rPr>
                <w:rFonts w:ascii="Times New Roman" w:hAnsi="Times New Roman"/>
                <w:sz w:val="24"/>
              </w:rPr>
              <w:tab/>
              <w:t>privātpersonu vai MVU apkalpošana/korporatīvo klientu apkalpošana;</w:t>
            </w:r>
          </w:p>
          <w:p w14:paraId="430C8F32"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rPr>
                <w:rFonts w:ascii="Times New Roman" w:hAnsi="Times New Roman"/>
                <w:sz w:val="24"/>
              </w:rPr>
              <w:tab/>
              <w:t>ieguldījumu bankas pakalpojumi;</w:t>
            </w:r>
          </w:p>
          <w:p w14:paraId="53DE36EC" w14:textId="5929A7F1" w:rsidR="00875832"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rPr>
                <w:rFonts w:ascii="Times New Roman" w:hAnsi="Times New Roman"/>
                <w:sz w:val="24"/>
              </w:rPr>
              <w:tab/>
              <w:t>specializētais aizdevējs;</w:t>
            </w:r>
          </w:p>
          <w:p w14:paraId="5E1BA609" w14:textId="431EB72A" w:rsidR="005D66B3" w:rsidRPr="000B66BC" w:rsidRDefault="00546848" w:rsidP="000B66BC">
            <w:pPr>
              <w:pStyle w:val="BodyText1"/>
              <w:spacing w:after="240" w:line="240" w:lineRule="auto"/>
              <w:ind w:left="360" w:hanging="360"/>
              <w:rPr>
                <w:rFonts w:ascii="Times New Roman" w:hAnsi="Times New Roman"/>
                <w:color w:val="auto"/>
                <w:sz w:val="24"/>
                <w:szCs w:val="24"/>
              </w:rPr>
            </w:pPr>
            <w:r>
              <w:rPr>
                <w:rFonts w:ascii="Times New Roman" w:hAnsi="Times New Roman"/>
                <w:sz w:val="24"/>
              </w:rPr>
              <w:t>- valsts attīstības kredītiestādes;</w:t>
            </w:r>
          </w:p>
          <w:p w14:paraId="55C552F6" w14:textId="725A2101" w:rsidR="00BE6AC4" w:rsidRPr="000B66BC" w:rsidRDefault="00875832"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rPr>
                <w:rFonts w:ascii="Times New Roman" w:hAnsi="Times New Roman"/>
                <w:sz w:val="24"/>
              </w:rPr>
              <w:tab/>
              <w:t>cits komercdarbības modelis</w:t>
            </w:r>
          </w:p>
        </w:tc>
      </w:tr>
      <w:tr w:rsidR="006316AD" w:rsidRPr="00E75BB8" w14:paraId="46E27CC1" w14:textId="77777777" w:rsidTr="000B66BC">
        <w:tc>
          <w:tcPr>
            <w:tcW w:w="1730" w:type="dxa"/>
          </w:tcPr>
          <w:p w14:paraId="113B7AA0" w14:textId="48CFB31B" w:rsidR="006316AD" w:rsidRPr="000B66BC" w:rsidRDefault="006316AD" w:rsidP="000B66BC">
            <w:pPr>
              <w:pStyle w:val="BodyText1"/>
              <w:spacing w:after="240"/>
              <w:rPr>
                <w:rFonts w:ascii="Times New Roman" w:hAnsi="Times New Roman"/>
                <w:bCs/>
                <w:sz w:val="24"/>
                <w:szCs w:val="24"/>
              </w:rPr>
            </w:pPr>
            <w:r>
              <w:rPr>
                <w:rFonts w:ascii="Times New Roman" w:hAnsi="Times New Roman"/>
                <w:sz w:val="24"/>
              </w:rPr>
              <w:t>{0070;0010}</w:t>
            </w:r>
          </w:p>
        </w:tc>
        <w:tc>
          <w:tcPr>
            <w:tcW w:w="7308" w:type="dxa"/>
          </w:tcPr>
          <w:p w14:paraId="31DC1601" w14:textId="77777777" w:rsidR="006316AD" w:rsidRPr="000B66BC" w:rsidRDefault="006316AD" w:rsidP="000B66BC">
            <w:pPr>
              <w:pStyle w:val="BodyText1"/>
              <w:spacing w:after="240" w:line="240" w:lineRule="auto"/>
              <w:rPr>
                <w:rFonts w:ascii="Times New Roman" w:hAnsi="Times New Roman"/>
                <w:b/>
                <w:bCs/>
                <w:sz w:val="24"/>
                <w:szCs w:val="24"/>
              </w:rPr>
            </w:pPr>
            <w:r>
              <w:rPr>
                <w:rFonts w:ascii="Times New Roman" w:hAnsi="Times New Roman"/>
                <w:b/>
                <w:sz w:val="24"/>
              </w:rPr>
              <w:t>Iestāde ar valsts attīstības struktūrvienību</w:t>
            </w:r>
          </w:p>
          <w:p w14:paraId="6D39363C" w14:textId="06B12418" w:rsidR="006316AD" w:rsidRPr="000B66BC" w:rsidRDefault="006316AD" w:rsidP="000B66BC">
            <w:pPr>
              <w:pStyle w:val="BodyText1"/>
              <w:spacing w:after="240" w:line="240" w:lineRule="auto"/>
              <w:rPr>
                <w:rFonts w:ascii="Times New Roman" w:hAnsi="Times New Roman"/>
                <w:bCs/>
                <w:sz w:val="24"/>
                <w:szCs w:val="24"/>
              </w:rPr>
            </w:pPr>
            <w:r>
              <w:rPr>
                <w:rFonts w:ascii="Times New Roman" w:hAnsi="Times New Roman"/>
                <w:sz w:val="24"/>
              </w:rPr>
              <w:t>Iestādes, kas nav valsts attīstības kredītiestādes, norāda, vai tām ir valsts attīstības struktūrvienība.</w:t>
            </w:r>
          </w:p>
        </w:tc>
      </w:tr>
      <w:tr w:rsidR="003A13D1" w:rsidRPr="00E75BB8" w14:paraId="2CDC3E13" w14:textId="77777777" w:rsidTr="000B66BC">
        <w:tc>
          <w:tcPr>
            <w:tcW w:w="1730" w:type="dxa"/>
          </w:tcPr>
          <w:p w14:paraId="79D8D3BF" w14:textId="5989EBFA" w:rsidR="003A13D1" w:rsidRPr="000B66BC" w:rsidRDefault="003A13D1" w:rsidP="000B66BC">
            <w:pPr>
              <w:pStyle w:val="BodyText1"/>
              <w:spacing w:after="240"/>
              <w:rPr>
                <w:rFonts w:ascii="Times New Roman" w:hAnsi="Times New Roman"/>
                <w:bCs/>
                <w:sz w:val="24"/>
                <w:szCs w:val="24"/>
              </w:rPr>
            </w:pPr>
            <w:r>
              <w:rPr>
                <w:rFonts w:ascii="Times New Roman" w:hAnsi="Times New Roman"/>
                <w:sz w:val="24"/>
              </w:rPr>
              <w:t>{0080;0010};</w:t>
            </w:r>
          </w:p>
          <w:p w14:paraId="0E404C36" w14:textId="3C546BDB" w:rsidR="003A13D1" w:rsidRPr="000B66BC" w:rsidRDefault="003A13D1" w:rsidP="000B66BC">
            <w:pPr>
              <w:pStyle w:val="BodyText1"/>
              <w:spacing w:after="240"/>
              <w:rPr>
                <w:rFonts w:ascii="Times New Roman" w:hAnsi="Times New Roman"/>
                <w:bCs/>
                <w:sz w:val="24"/>
                <w:szCs w:val="24"/>
              </w:rPr>
            </w:pPr>
            <w:r>
              <w:rPr>
                <w:rFonts w:ascii="Times New Roman" w:hAnsi="Times New Roman"/>
                <w:sz w:val="24"/>
              </w:rPr>
              <w:t>{00090;0010};</w:t>
            </w:r>
          </w:p>
          <w:p w14:paraId="53B876FA" w14:textId="06E5D9AE" w:rsidR="003A13D1" w:rsidRPr="000B66BC" w:rsidRDefault="003A13D1" w:rsidP="000B66BC">
            <w:pPr>
              <w:pStyle w:val="BodyText1"/>
              <w:spacing w:after="240"/>
              <w:rPr>
                <w:rFonts w:ascii="Times New Roman" w:hAnsi="Times New Roman"/>
                <w:bCs/>
                <w:sz w:val="24"/>
                <w:szCs w:val="24"/>
              </w:rPr>
            </w:pPr>
            <w:r>
              <w:rPr>
                <w:rFonts w:ascii="Times New Roman" w:hAnsi="Times New Roman"/>
                <w:sz w:val="24"/>
              </w:rPr>
              <w:t>{0100;0010}</w:t>
            </w:r>
          </w:p>
        </w:tc>
        <w:tc>
          <w:tcPr>
            <w:tcW w:w="7308" w:type="dxa"/>
          </w:tcPr>
          <w:p w14:paraId="66B939F9" w14:textId="6084E1B7" w:rsidR="003A13D1" w:rsidRPr="000B66BC" w:rsidRDefault="003A13D1" w:rsidP="000B66BC">
            <w:pPr>
              <w:pStyle w:val="BodyText1"/>
              <w:spacing w:after="240" w:line="240" w:lineRule="auto"/>
              <w:rPr>
                <w:rFonts w:ascii="Times New Roman" w:hAnsi="Times New Roman"/>
                <w:b/>
                <w:bCs/>
                <w:sz w:val="24"/>
                <w:szCs w:val="24"/>
              </w:rPr>
            </w:pPr>
            <w:r>
              <w:rPr>
                <w:rFonts w:ascii="Times New Roman" w:hAnsi="Times New Roman"/>
                <w:b/>
                <w:sz w:val="24"/>
              </w:rPr>
              <w:t>Struktūra, kas sniedz garantijas valsts attīstības kredītiestādei/struktūrvienībai saskaņā ar KPR 429.a panta 2. punkta d) apakšpunktu: centrālā valdība, reģionālā pašvaldība, vietējā pašpārvalde</w:t>
            </w:r>
          </w:p>
          <w:p w14:paraId="5D4C6A0E" w14:textId="404D2BB3" w:rsidR="00092325" w:rsidRPr="000B66BC" w:rsidRDefault="00092325" w:rsidP="000B66BC">
            <w:pPr>
              <w:pStyle w:val="BodyText1"/>
              <w:spacing w:after="240" w:line="240" w:lineRule="auto"/>
              <w:rPr>
                <w:rFonts w:ascii="Times New Roman" w:hAnsi="Times New Roman"/>
                <w:bCs/>
                <w:sz w:val="24"/>
                <w:szCs w:val="24"/>
              </w:rPr>
            </w:pPr>
            <w:r>
              <w:rPr>
                <w:rFonts w:ascii="Times New Roman" w:hAnsi="Times New Roman"/>
                <w:sz w:val="24"/>
              </w:rPr>
              <w:t>Iestādes, kas ir valsts attīstības kredītiestāde vai kam ir valsts attīstības struktūrvienība, norāda, vai tām ir sniegusi garantiju centrālā valdība, reģionālā valdība vai vietējā pašpārvalde.</w:t>
            </w:r>
          </w:p>
          <w:p w14:paraId="493FBA55" w14:textId="6B923AA1" w:rsidR="003B054D" w:rsidRPr="000B66BC" w:rsidRDefault="00092325" w:rsidP="000B66BC">
            <w:pPr>
              <w:pStyle w:val="BodyText1"/>
              <w:spacing w:after="240" w:line="240" w:lineRule="auto"/>
              <w:rPr>
                <w:rFonts w:ascii="Times New Roman" w:hAnsi="Times New Roman"/>
                <w:b/>
                <w:bCs/>
                <w:sz w:val="24"/>
                <w:szCs w:val="24"/>
              </w:rPr>
            </w:pPr>
            <w:r>
              <w:rPr>
                <w:rFonts w:ascii="Times New Roman" w:hAnsi="Times New Roman"/>
                <w:sz w:val="24"/>
              </w:rPr>
              <w:t>Iestādes norāda “TRUE” rindā, kas atbilst aizsardzības devēja attiecīgajam tipam, un “FALSE” visur citur.</w:t>
            </w:r>
          </w:p>
        </w:tc>
      </w:tr>
      <w:tr w:rsidR="00872B4A" w:rsidRPr="00E75BB8" w14:paraId="7B661A02" w14:textId="77777777" w:rsidTr="000B66BC">
        <w:tc>
          <w:tcPr>
            <w:tcW w:w="1730" w:type="dxa"/>
          </w:tcPr>
          <w:p w14:paraId="184627A9" w14:textId="01E80B34" w:rsidR="00872B4A" w:rsidRPr="000B66BC" w:rsidRDefault="008551A7" w:rsidP="000B66BC">
            <w:pPr>
              <w:pStyle w:val="BodyText1"/>
              <w:spacing w:after="240"/>
              <w:rPr>
                <w:rFonts w:ascii="Times New Roman" w:hAnsi="Times New Roman"/>
                <w:bCs/>
                <w:sz w:val="24"/>
                <w:szCs w:val="24"/>
              </w:rPr>
            </w:pPr>
            <w:r>
              <w:rPr>
                <w:rFonts w:ascii="Times New Roman" w:hAnsi="Times New Roman"/>
                <w:sz w:val="24"/>
              </w:rPr>
              <w:t>{0080;0010}</w:t>
            </w:r>
          </w:p>
        </w:tc>
        <w:tc>
          <w:tcPr>
            <w:tcW w:w="7308" w:type="dxa"/>
          </w:tcPr>
          <w:p w14:paraId="763F7485" w14:textId="7D0968A1" w:rsidR="00B04A5F" w:rsidRPr="000B66BC" w:rsidRDefault="00B132DC" w:rsidP="000B66BC">
            <w:pPr>
              <w:pStyle w:val="BodyText1"/>
              <w:spacing w:after="240" w:line="240" w:lineRule="auto"/>
              <w:rPr>
                <w:rFonts w:ascii="Times New Roman" w:hAnsi="Times New Roman"/>
                <w:b/>
                <w:bCs/>
                <w:sz w:val="24"/>
                <w:szCs w:val="24"/>
              </w:rPr>
            </w:pPr>
            <w:r>
              <w:rPr>
                <w:rFonts w:ascii="Times New Roman" w:hAnsi="Times New Roman"/>
                <w:b/>
                <w:sz w:val="24"/>
              </w:rPr>
              <w:t>Centrālās valdības garantijas valsts attīstības kredītiestādei/struktūrvienībai</w:t>
            </w:r>
          </w:p>
        </w:tc>
      </w:tr>
      <w:tr w:rsidR="00B132DC" w:rsidRPr="00E75BB8" w14:paraId="355B1E3D" w14:textId="77777777" w:rsidTr="000B66BC">
        <w:tc>
          <w:tcPr>
            <w:tcW w:w="1730" w:type="dxa"/>
          </w:tcPr>
          <w:p w14:paraId="1700BD22" w14:textId="1957DAF2" w:rsidR="00B132DC" w:rsidRPr="000B66BC" w:rsidRDefault="003A13D1" w:rsidP="000B66BC">
            <w:pPr>
              <w:pStyle w:val="BodyText1"/>
              <w:spacing w:after="240"/>
              <w:rPr>
                <w:rFonts w:ascii="Times New Roman" w:hAnsi="Times New Roman"/>
                <w:bCs/>
                <w:sz w:val="24"/>
                <w:szCs w:val="24"/>
              </w:rPr>
            </w:pPr>
            <w:r>
              <w:rPr>
                <w:rFonts w:ascii="Times New Roman" w:hAnsi="Times New Roman"/>
                <w:sz w:val="24"/>
              </w:rPr>
              <w:lastRenderedPageBreak/>
              <w:t>{0090;0010}</w:t>
            </w:r>
          </w:p>
        </w:tc>
        <w:tc>
          <w:tcPr>
            <w:tcW w:w="7308" w:type="dxa"/>
          </w:tcPr>
          <w:p w14:paraId="12648551" w14:textId="723AC193" w:rsidR="00B132DC" w:rsidRPr="000B66BC" w:rsidRDefault="000A5B0A" w:rsidP="000B66BC">
            <w:pPr>
              <w:pStyle w:val="BodyText1"/>
              <w:spacing w:after="240" w:line="240" w:lineRule="auto"/>
              <w:rPr>
                <w:rFonts w:ascii="Times New Roman" w:hAnsi="Times New Roman"/>
                <w:b/>
                <w:bCs/>
                <w:sz w:val="24"/>
                <w:szCs w:val="24"/>
              </w:rPr>
            </w:pPr>
            <w:r>
              <w:rPr>
                <w:rFonts w:ascii="Times New Roman" w:hAnsi="Times New Roman"/>
                <w:b/>
                <w:sz w:val="24"/>
              </w:rPr>
              <w:t>Reģionālās pašvaldības garantijas valsts attīstības kredītiestādei/struktūrvienībai</w:t>
            </w:r>
          </w:p>
        </w:tc>
      </w:tr>
      <w:tr w:rsidR="00B132DC" w:rsidRPr="00E75BB8" w14:paraId="261210F5" w14:textId="77777777" w:rsidTr="000B66BC">
        <w:tc>
          <w:tcPr>
            <w:tcW w:w="1730" w:type="dxa"/>
          </w:tcPr>
          <w:p w14:paraId="03A3CB47" w14:textId="5C79DC97" w:rsidR="00B132DC" w:rsidRPr="000B66BC" w:rsidRDefault="003A13D1" w:rsidP="000B66BC">
            <w:pPr>
              <w:pStyle w:val="BodyText1"/>
              <w:spacing w:after="240"/>
              <w:rPr>
                <w:rFonts w:ascii="Times New Roman" w:hAnsi="Times New Roman"/>
                <w:bCs/>
                <w:sz w:val="24"/>
                <w:szCs w:val="24"/>
              </w:rPr>
            </w:pPr>
            <w:r>
              <w:rPr>
                <w:rFonts w:ascii="Times New Roman" w:hAnsi="Times New Roman"/>
                <w:sz w:val="24"/>
              </w:rPr>
              <w:t>{0100;0010}</w:t>
            </w:r>
          </w:p>
        </w:tc>
        <w:tc>
          <w:tcPr>
            <w:tcW w:w="7308" w:type="dxa"/>
          </w:tcPr>
          <w:p w14:paraId="3DBA105A" w14:textId="07763F33" w:rsidR="00B132DC"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sz w:val="24"/>
              </w:rPr>
              <w:t>Vietējās pašpārvaldes garantijas valsts attīstības kredītiestādei/struktūrvienībai</w:t>
            </w:r>
          </w:p>
        </w:tc>
      </w:tr>
      <w:tr w:rsidR="003B054D" w:rsidRPr="00E75BB8" w14:paraId="34258127" w14:textId="77777777" w:rsidTr="000B66BC">
        <w:tc>
          <w:tcPr>
            <w:tcW w:w="1730" w:type="dxa"/>
          </w:tcPr>
          <w:p w14:paraId="35F9E1F6" w14:textId="4B3A5235" w:rsidR="003B054D" w:rsidRPr="000B66BC" w:rsidRDefault="00F966CA" w:rsidP="000B66BC">
            <w:pPr>
              <w:pStyle w:val="BodyText1"/>
              <w:spacing w:after="240"/>
              <w:rPr>
                <w:rFonts w:ascii="Times New Roman" w:hAnsi="Times New Roman"/>
                <w:bCs/>
                <w:sz w:val="24"/>
                <w:szCs w:val="24"/>
              </w:rPr>
            </w:pPr>
            <w:r>
              <w:rPr>
                <w:rFonts w:ascii="Times New Roman" w:hAnsi="Times New Roman"/>
                <w:sz w:val="24"/>
              </w:rPr>
              <w:t>{0110;0010};</w:t>
            </w:r>
          </w:p>
          <w:p w14:paraId="4E5E6B84" w14:textId="41699235" w:rsidR="00F966CA" w:rsidRPr="000B66BC" w:rsidRDefault="00F966CA" w:rsidP="000B66BC">
            <w:pPr>
              <w:pStyle w:val="BodyText1"/>
              <w:spacing w:after="240"/>
              <w:rPr>
                <w:rFonts w:ascii="Times New Roman" w:hAnsi="Times New Roman"/>
                <w:bCs/>
                <w:sz w:val="24"/>
                <w:szCs w:val="24"/>
              </w:rPr>
            </w:pPr>
            <w:r>
              <w:rPr>
                <w:rFonts w:ascii="Times New Roman" w:hAnsi="Times New Roman"/>
                <w:sz w:val="24"/>
              </w:rPr>
              <w:t>{0120;0010};</w:t>
            </w:r>
          </w:p>
          <w:p w14:paraId="174F75EE" w14:textId="42C2EAF1" w:rsidR="00F966CA" w:rsidRPr="000B66BC" w:rsidRDefault="00F966CA" w:rsidP="000B66BC">
            <w:pPr>
              <w:pStyle w:val="BodyText1"/>
              <w:spacing w:after="240"/>
              <w:rPr>
                <w:rFonts w:ascii="Times New Roman" w:hAnsi="Times New Roman"/>
                <w:bCs/>
                <w:sz w:val="24"/>
                <w:szCs w:val="24"/>
              </w:rPr>
            </w:pPr>
            <w:r>
              <w:rPr>
                <w:rFonts w:ascii="Times New Roman" w:hAnsi="Times New Roman"/>
                <w:sz w:val="24"/>
              </w:rPr>
              <w:t>{0130;0010}</w:t>
            </w:r>
          </w:p>
        </w:tc>
        <w:tc>
          <w:tcPr>
            <w:tcW w:w="7308" w:type="dxa"/>
          </w:tcPr>
          <w:p w14:paraId="5E6BF02B" w14:textId="2863BEEC"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b/>
                <w:sz w:val="24"/>
              </w:rPr>
              <w:t>Saskaņā ar KPR 429.a panta 2. punkta d) apakšpunktu saņemtās garantijas veids</w:t>
            </w:r>
          </w:p>
          <w:p w14:paraId="6AD424FF" w14:textId="63E03310"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sz w:val="24"/>
              </w:rPr>
              <w:t>Iestādes, kas ir valsts attīstības kredītiestāde vai kam ir valsts attīstības struktūrvienība, norāda saņemtās aizsardzības veidu.</w:t>
            </w:r>
          </w:p>
          <w:p w14:paraId="70381FB6" w14:textId="2B13E154"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sz w:val="24"/>
              </w:rPr>
              <w:t>Iestādes norāda “TRUE” rindā, kas atbilst aizsardzības devēja attiecīgajam tipam, un “FALSE” visur citur.</w:t>
            </w:r>
          </w:p>
        </w:tc>
      </w:tr>
      <w:tr w:rsidR="004D70D0" w:rsidRPr="00E75BB8" w14:paraId="049655D5" w14:textId="77777777" w:rsidTr="000B66BC">
        <w:tc>
          <w:tcPr>
            <w:tcW w:w="1730" w:type="dxa"/>
          </w:tcPr>
          <w:p w14:paraId="1DD88EB6" w14:textId="02D4AA7C" w:rsidR="004D70D0" w:rsidRPr="000B66BC" w:rsidRDefault="00F966CA" w:rsidP="000B66BC">
            <w:pPr>
              <w:pStyle w:val="BodyText1"/>
              <w:spacing w:after="240"/>
              <w:rPr>
                <w:rFonts w:ascii="Times New Roman" w:hAnsi="Times New Roman"/>
                <w:bCs/>
                <w:sz w:val="24"/>
                <w:szCs w:val="24"/>
              </w:rPr>
            </w:pPr>
            <w:r>
              <w:rPr>
                <w:rFonts w:ascii="Times New Roman" w:hAnsi="Times New Roman"/>
                <w:sz w:val="24"/>
              </w:rPr>
              <w:t>{0110;0010}</w:t>
            </w:r>
          </w:p>
        </w:tc>
        <w:tc>
          <w:tcPr>
            <w:tcW w:w="7308" w:type="dxa"/>
          </w:tcPr>
          <w:p w14:paraId="29D5A7E2" w14:textId="34B8184D" w:rsidR="004D70D0"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sz w:val="24"/>
              </w:rPr>
              <w:t>Pienākums aizsargāt kredītiestāžu dzīvotspēju</w:t>
            </w:r>
          </w:p>
        </w:tc>
      </w:tr>
      <w:tr w:rsidR="004D70D0" w:rsidRPr="00E75BB8" w14:paraId="4796D2E1" w14:textId="77777777" w:rsidTr="000B66BC">
        <w:tc>
          <w:tcPr>
            <w:tcW w:w="1730" w:type="dxa"/>
          </w:tcPr>
          <w:p w14:paraId="16677FDC" w14:textId="37E0FCCD" w:rsidR="004D70D0" w:rsidRPr="000B66BC" w:rsidRDefault="00F966CA" w:rsidP="000B66BC">
            <w:pPr>
              <w:pStyle w:val="BodyText1"/>
              <w:spacing w:after="240"/>
              <w:rPr>
                <w:rFonts w:ascii="Times New Roman" w:hAnsi="Times New Roman"/>
                <w:bCs/>
                <w:sz w:val="24"/>
                <w:szCs w:val="24"/>
              </w:rPr>
            </w:pPr>
            <w:r>
              <w:rPr>
                <w:rFonts w:ascii="Times New Roman" w:hAnsi="Times New Roman"/>
                <w:sz w:val="24"/>
              </w:rPr>
              <w:t>{0120;0010}</w:t>
            </w:r>
          </w:p>
        </w:tc>
        <w:tc>
          <w:tcPr>
            <w:tcW w:w="7308" w:type="dxa"/>
          </w:tcPr>
          <w:p w14:paraId="01E19ED4" w14:textId="2C530F26" w:rsidR="00F966CA"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sz w:val="24"/>
              </w:rPr>
              <w:t>Tieša garantija attiecībā uz kredītiestāžu pašu kapitāla prasībām, finansējuma prasībām vai piešķirtajiem attīstību veicinošajiem aizdevumiem</w:t>
            </w:r>
          </w:p>
        </w:tc>
      </w:tr>
      <w:tr w:rsidR="004D70D0" w:rsidRPr="00E75BB8" w14:paraId="5FD34A30" w14:textId="77777777" w:rsidTr="000B66BC">
        <w:tc>
          <w:tcPr>
            <w:tcW w:w="1730" w:type="dxa"/>
          </w:tcPr>
          <w:p w14:paraId="0024CD7F" w14:textId="224F79CB" w:rsidR="004D70D0" w:rsidRPr="000B66BC" w:rsidRDefault="00F966CA" w:rsidP="000B66BC">
            <w:pPr>
              <w:pStyle w:val="BodyText1"/>
              <w:spacing w:after="240"/>
              <w:rPr>
                <w:rFonts w:ascii="Times New Roman" w:hAnsi="Times New Roman"/>
                <w:bCs/>
                <w:sz w:val="24"/>
                <w:szCs w:val="24"/>
              </w:rPr>
            </w:pPr>
            <w:r>
              <w:rPr>
                <w:rFonts w:ascii="Times New Roman" w:hAnsi="Times New Roman"/>
                <w:sz w:val="24"/>
              </w:rPr>
              <w:t>{0130;0010}</w:t>
            </w:r>
          </w:p>
        </w:tc>
        <w:tc>
          <w:tcPr>
            <w:tcW w:w="7308" w:type="dxa"/>
          </w:tcPr>
          <w:p w14:paraId="6809ECEE" w14:textId="15891213" w:rsidR="002C169A"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sz w:val="24"/>
              </w:rPr>
              <w:t>Netieša garantija attiecībā uz kredītiestāžu pašu kapitāla prasībām, finansējuma prasībām vai piešķirtajiem attīstību veicinošajiem aizdevumiem</w:t>
            </w:r>
          </w:p>
        </w:tc>
      </w:tr>
    </w:tbl>
    <w:p w14:paraId="47D20A93" w14:textId="77777777" w:rsidR="00565261" w:rsidRPr="000B66BC" w:rsidRDefault="00565261" w:rsidP="000B66BC">
      <w:pPr>
        <w:pStyle w:val="BodyText1"/>
        <w:spacing w:after="240"/>
        <w:ind w:left="567"/>
        <w:rPr>
          <w:rFonts w:ascii="Times New Roman" w:hAnsi="Times New Roman"/>
          <w:sz w:val="24"/>
          <w:szCs w:val="24"/>
        </w:rPr>
      </w:pPr>
    </w:p>
    <w:p w14:paraId="0E59FFDF" w14:textId="35DCDD76" w:rsidR="00700DB7" w:rsidRPr="000B66BC" w:rsidRDefault="005F4574" w:rsidP="000B66BC">
      <w:pPr>
        <w:pStyle w:val="BodyText1"/>
        <w:spacing w:after="240"/>
        <w:ind w:left="357" w:hanging="357"/>
        <w:outlineLvl w:val="1"/>
        <w:rPr>
          <w:rFonts w:ascii="Times New Roman" w:hAnsi="Times New Roman"/>
          <w:b/>
          <w:sz w:val="24"/>
          <w:szCs w:val="24"/>
        </w:rPr>
      </w:pPr>
      <w:bookmarkStart w:id="78" w:name="_Toc188889285"/>
      <w:r>
        <w:rPr>
          <w:rFonts w:ascii="Times New Roman" w:hAnsi="Times New Roman"/>
          <w:b/>
          <w:sz w:val="24"/>
        </w:rPr>
        <w:t>7.</w:t>
      </w:r>
      <w:r>
        <w:rPr>
          <w:rFonts w:ascii="Times New Roman" w:hAnsi="Times New Roman"/>
          <w:b/>
          <w:sz w:val="24"/>
        </w:rPr>
        <w:tab/>
        <w:t>C 48.00 Sviras rādītāja svārstīgums (LR6)</w:t>
      </w:r>
      <w:bookmarkEnd w:id="78"/>
    </w:p>
    <w:p w14:paraId="4D3787F1" w14:textId="2C3256EB" w:rsidR="00700DB7" w:rsidRPr="000B66BC" w:rsidRDefault="00143C6A"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29.</w:t>
      </w:r>
      <w:r>
        <w:rPr>
          <w:rFonts w:ascii="Times New Roman" w:hAnsi="Times New Roman"/>
          <w:sz w:val="24"/>
        </w:rPr>
        <w:tab/>
        <w:t xml:space="preserve">Informācija tiek vākta, lai uzraudzītu sviras rādītāja svārstīgumu. Šo informāciju sniedz tikai lielas iestādes. </w:t>
      </w:r>
    </w:p>
    <w:p w14:paraId="16B16093" w14:textId="5ABFB2E9" w:rsidR="000472E7" w:rsidRPr="000B66BC" w:rsidRDefault="005F4574" w:rsidP="000B66BC">
      <w:pPr>
        <w:pStyle w:val="BodyText1"/>
        <w:spacing w:after="240"/>
        <w:ind w:left="357" w:hanging="357"/>
        <w:outlineLvl w:val="1"/>
        <w:rPr>
          <w:rFonts w:ascii="Times New Roman" w:hAnsi="Times New Roman"/>
          <w:b/>
          <w:sz w:val="24"/>
          <w:szCs w:val="24"/>
        </w:rPr>
      </w:pPr>
      <w:bookmarkStart w:id="79" w:name="_Toc188889286"/>
      <w:r>
        <w:rPr>
          <w:rFonts w:ascii="Times New Roman" w:hAnsi="Times New Roman"/>
          <w:b/>
          <w:sz w:val="24"/>
        </w:rPr>
        <w:t>8.</w:t>
      </w:r>
      <w:r>
        <w:rPr>
          <w:rFonts w:ascii="Times New Roman" w:hAnsi="Times New Roman"/>
          <w:b/>
          <w:sz w:val="24"/>
        </w:rPr>
        <w:tab/>
        <w:t>C 48.01 Sviras rādītāja svārstīgums: vidējā vērtība pārskata periodā</w:t>
      </w:r>
      <w:bookmarkEnd w:id="79"/>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E75BB8" w14:paraId="0A7DE43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83A63B" w14:textId="77777777" w:rsidR="001D7541" w:rsidRPr="000B66BC" w:rsidRDefault="001D7541" w:rsidP="000B66BC">
            <w:pPr>
              <w:pStyle w:val="BodyText1"/>
              <w:spacing w:after="240"/>
              <w:rPr>
                <w:rFonts w:ascii="Times New Roman" w:hAnsi="Times New Roman"/>
                <w:b/>
                <w:bCs/>
                <w:sz w:val="24"/>
                <w:szCs w:val="24"/>
              </w:rPr>
            </w:pPr>
            <w:r>
              <w:rPr>
                <w:rFonts w:ascii="Times New Roman" w:hAnsi="Times New Roman"/>
                <w:b/>
                <w:sz w:val="24"/>
              </w:rPr>
              <w:t xml:space="preserve">Rinda </w:t>
            </w:r>
          </w:p>
          <w:p w14:paraId="188CF35D"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
                <w:sz w:val="24"/>
              </w:rPr>
              <w:t>un sleja</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60E6A9" w14:textId="77777777" w:rsidR="001D7541" w:rsidRPr="000B66BC" w:rsidRDefault="00697380" w:rsidP="000B66BC">
            <w:pPr>
              <w:pStyle w:val="BodyText1"/>
              <w:spacing w:after="240" w:line="240" w:lineRule="auto"/>
              <w:rPr>
                <w:rFonts w:ascii="Times New Roman" w:hAnsi="Times New Roman"/>
                <w:b/>
                <w:color w:val="auto"/>
                <w:sz w:val="24"/>
                <w:szCs w:val="24"/>
              </w:rPr>
            </w:pPr>
            <w:r>
              <w:rPr>
                <w:rFonts w:ascii="Times New Roman" w:hAnsi="Times New Roman"/>
                <w:b/>
                <w:sz w:val="24"/>
              </w:rPr>
              <w:t>Norādes</w:t>
            </w:r>
          </w:p>
        </w:tc>
      </w:tr>
      <w:tr w:rsidR="001D7541" w:rsidRPr="00E75BB8" w14:paraId="7E8A2B67"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AA917E1"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sz w:val="24"/>
              </w:rPr>
              <w:t>{0010;0010}</w:t>
            </w:r>
          </w:p>
        </w:tc>
        <w:tc>
          <w:tcPr>
            <w:tcW w:w="7420" w:type="dxa"/>
            <w:tcBorders>
              <w:top w:val="single" w:sz="4" w:space="0" w:color="auto"/>
              <w:left w:val="single" w:sz="4" w:space="0" w:color="auto"/>
              <w:bottom w:val="single" w:sz="4" w:space="0" w:color="auto"/>
              <w:right w:val="single" w:sz="4" w:space="0" w:color="auto"/>
            </w:tcBorders>
            <w:vAlign w:val="center"/>
          </w:tcPr>
          <w:p w14:paraId="6405DCEA"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Vidējā vērtība pārskata periodā – VFD riska darījumu vērtība</w:t>
            </w:r>
          </w:p>
          <w:p w14:paraId="27CD001D" w14:textId="4B020038"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rPr>
              <w:t xml:space="preserve">Iestādes norāda VFD riska darījumu vērtību dienas vidējo vērtību pārskata ceturksnī, no kuras atskaitīta atbrīvoto </w:t>
            </w:r>
            <w:r>
              <w:rPr>
                <w:rFonts w:ascii="Times New Roman" w:hAnsi="Times New Roman"/>
                <w:i/>
                <w:iCs/>
                <w:color w:val="auto"/>
                <w:sz w:val="24"/>
              </w:rPr>
              <w:t>CCP</w:t>
            </w:r>
            <w:r>
              <w:rPr>
                <w:rFonts w:ascii="Times New Roman" w:hAnsi="Times New Roman"/>
                <w:color w:val="auto"/>
                <w:sz w:val="24"/>
              </w:rPr>
              <w:t xml:space="preserve"> daļa tirdzniecības riska darījumos ar klientu veiktu </w:t>
            </w:r>
            <w:proofErr w:type="spellStart"/>
            <w:r>
              <w:rPr>
                <w:rFonts w:ascii="Times New Roman" w:hAnsi="Times New Roman"/>
                <w:color w:val="auto"/>
                <w:sz w:val="24"/>
              </w:rPr>
              <w:t>tīrvērti</w:t>
            </w:r>
            <w:proofErr w:type="spellEnd"/>
            <w:r>
              <w:rPr>
                <w:rFonts w:ascii="Times New Roman" w:hAnsi="Times New Roman"/>
                <w:color w:val="auto"/>
                <w:sz w:val="24"/>
              </w:rPr>
              <w:t>, kas norādīta C47.00 veidnes 0010. un 0050. rindā.</w:t>
            </w:r>
          </w:p>
        </w:tc>
      </w:tr>
      <w:tr w:rsidR="001D7541" w:rsidRPr="00E75BB8" w14:paraId="4C36FCA0"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5B00A94"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sz w:val="24"/>
              </w:rPr>
              <w:t>{0010;0020}</w:t>
            </w:r>
          </w:p>
        </w:tc>
        <w:tc>
          <w:tcPr>
            <w:tcW w:w="7420" w:type="dxa"/>
            <w:tcBorders>
              <w:top w:val="single" w:sz="4" w:space="0" w:color="auto"/>
              <w:left w:val="single" w:sz="4" w:space="0" w:color="auto"/>
              <w:bottom w:val="single" w:sz="4" w:space="0" w:color="auto"/>
              <w:right w:val="single" w:sz="4" w:space="0" w:color="auto"/>
            </w:tcBorders>
            <w:vAlign w:val="center"/>
          </w:tcPr>
          <w:p w14:paraId="1D92827F"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Vidējā vērtība pārskata periodā – Korekcijas attiecībā uz darījumiem, kuri uzskaitīti kā VFD tirdzniecība </w:t>
            </w:r>
          </w:p>
          <w:p w14:paraId="53B119C8" w14:textId="5C8C9F92"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sz w:val="24"/>
              </w:rPr>
              <w:lastRenderedPageBreak/>
              <w:t>Iestādes uzrāda C47.00. veidnes 0230. rindā norādīto korekciju attiecībā uz darījumiem, kuri uzskaitīti kā VFD tirdzniecība, dienas vērtību vidējo vērtību pārskata ceturksnī.</w:t>
            </w:r>
          </w:p>
        </w:tc>
      </w:tr>
    </w:tbl>
    <w:p w14:paraId="74866056" w14:textId="69DED7CA" w:rsidR="000472E7" w:rsidRPr="000B66BC" w:rsidRDefault="000472E7" w:rsidP="000B66BC">
      <w:pPr>
        <w:pStyle w:val="BodyText1"/>
        <w:spacing w:after="240"/>
        <w:ind w:left="567"/>
        <w:rPr>
          <w:rFonts w:ascii="Times New Roman" w:hAnsi="Times New Roman"/>
          <w:sz w:val="24"/>
          <w:szCs w:val="24"/>
        </w:rPr>
      </w:pPr>
    </w:p>
    <w:p w14:paraId="622AB7C1" w14:textId="0B8B7A60" w:rsidR="001D7541" w:rsidRPr="000B66BC" w:rsidRDefault="005F4574" w:rsidP="000B66BC">
      <w:pPr>
        <w:pStyle w:val="BodyText1"/>
        <w:spacing w:after="240"/>
        <w:ind w:left="357" w:hanging="357"/>
        <w:outlineLvl w:val="1"/>
        <w:rPr>
          <w:rFonts w:ascii="Times New Roman" w:hAnsi="Times New Roman"/>
          <w:b/>
          <w:sz w:val="24"/>
          <w:szCs w:val="24"/>
        </w:rPr>
      </w:pPr>
      <w:bookmarkStart w:id="80" w:name="_Toc188889287"/>
      <w:r>
        <w:rPr>
          <w:rFonts w:ascii="Times New Roman" w:hAnsi="Times New Roman"/>
          <w:b/>
          <w:sz w:val="24"/>
        </w:rPr>
        <w:t>9.</w:t>
      </w:r>
      <w:r>
        <w:rPr>
          <w:rFonts w:ascii="Times New Roman" w:hAnsi="Times New Roman"/>
          <w:b/>
          <w:sz w:val="24"/>
        </w:rPr>
        <w:tab/>
        <w:t>C 48.02 Sviras rādītāja svārstīgums: dienas vērtības pārskata periodā</w:t>
      </w:r>
      <w:bookmarkEnd w:id="80"/>
    </w:p>
    <w:p w14:paraId="1BD85257" w14:textId="38D419A9" w:rsidR="001D7541" w:rsidRPr="000B66BC" w:rsidRDefault="00FA475C"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30.</w:t>
      </w:r>
      <w:r>
        <w:rPr>
          <w:rFonts w:ascii="Times New Roman" w:hAnsi="Times New Roman"/>
          <w:sz w:val="24"/>
        </w:rPr>
        <w:tab/>
        <w:t xml:space="preserve">Uzrāda dienas vērtības par ceturksni. </w:t>
      </w: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E75BB8" w14:paraId="2AC7E93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6FA717" w14:textId="77777777" w:rsidR="001D7541" w:rsidRPr="000B66BC" w:rsidRDefault="001D7541" w:rsidP="000B66BC">
            <w:pPr>
              <w:pStyle w:val="BodyText1"/>
              <w:spacing w:after="240"/>
              <w:rPr>
                <w:rFonts w:ascii="Times New Roman" w:hAnsi="Times New Roman"/>
                <w:b/>
                <w:bCs/>
                <w:sz w:val="24"/>
                <w:szCs w:val="24"/>
              </w:rPr>
            </w:pPr>
            <w:r>
              <w:rPr>
                <w:rFonts w:ascii="Times New Roman" w:hAnsi="Times New Roman"/>
                <w:b/>
                <w:sz w:val="24"/>
              </w:rPr>
              <w:t xml:space="preserve">Rinda </w:t>
            </w:r>
          </w:p>
          <w:p w14:paraId="4A69CF68"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
                <w:sz w:val="24"/>
              </w:rPr>
              <w:t>un sleja</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846AF82" w14:textId="77777777" w:rsidR="001D7541" w:rsidRPr="000B66BC" w:rsidRDefault="00697380" w:rsidP="000B66BC">
            <w:pPr>
              <w:pStyle w:val="BodyText1"/>
              <w:spacing w:after="240" w:line="240" w:lineRule="auto"/>
              <w:rPr>
                <w:rFonts w:ascii="Times New Roman" w:hAnsi="Times New Roman"/>
                <w:b/>
                <w:color w:val="auto"/>
                <w:sz w:val="24"/>
                <w:szCs w:val="24"/>
              </w:rPr>
            </w:pPr>
            <w:r>
              <w:rPr>
                <w:rFonts w:ascii="Times New Roman" w:hAnsi="Times New Roman"/>
                <w:b/>
                <w:sz w:val="24"/>
              </w:rPr>
              <w:t>Norādes</w:t>
            </w:r>
          </w:p>
        </w:tc>
      </w:tr>
      <w:tr w:rsidR="001D7541" w:rsidRPr="00E75BB8" w14:paraId="07392E1F"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5249C3E8"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sz w:val="24"/>
              </w:rPr>
              <w:t>{0010;0010}</w:t>
            </w:r>
          </w:p>
        </w:tc>
        <w:tc>
          <w:tcPr>
            <w:tcW w:w="7420" w:type="dxa"/>
            <w:tcBorders>
              <w:top w:val="single" w:sz="4" w:space="0" w:color="auto"/>
              <w:left w:val="single" w:sz="4" w:space="0" w:color="auto"/>
              <w:bottom w:val="single" w:sz="4" w:space="0" w:color="auto"/>
              <w:right w:val="single" w:sz="4" w:space="0" w:color="auto"/>
            </w:tcBorders>
            <w:vAlign w:val="center"/>
          </w:tcPr>
          <w:p w14:paraId="1CDDBEFA" w14:textId="7EF262DA"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Atsauces datums pārskata periodā</w:t>
            </w:r>
          </w:p>
          <w:p w14:paraId="11691437" w14:textId="6CB0BDCD" w:rsidR="001D7541" w:rsidRPr="000B66BC" w:rsidRDefault="005E0E4A"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rPr>
              <w:t>Iestādes norāda datumu, uz kuru attiecas uzrādītā dienas vērtība. Vērtību uzrāda par katru pārskata ceturkšņa dienu.</w:t>
            </w:r>
          </w:p>
        </w:tc>
      </w:tr>
      <w:tr w:rsidR="001D7541" w:rsidRPr="00E75BB8" w14:paraId="1251FDD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37AAFEDA" w14:textId="77777777" w:rsidR="001D7541" w:rsidRPr="000B66BC" w:rsidRDefault="001D7541" w:rsidP="000B66BC">
            <w:pPr>
              <w:pStyle w:val="BodyText1"/>
              <w:spacing w:after="240"/>
              <w:rPr>
                <w:rFonts w:ascii="Times New Roman" w:hAnsi="Times New Roman"/>
                <w:bCs/>
                <w:color w:val="auto"/>
                <w:sz w:val="24"/>
                <w:szCs w:val="24"/>
              </w:rPr>
            </w:pPr>
            <w:r>
              <w:rPr>
                <w:rFonts w:ascii="Times New Roman" w:hAnsi="Times New Roman"/>
                <w:color w:val="auto"/>
                <w:sz w:val="24"/>
              </w:rPr>
              <w:t>{0010;0020}</w:t>
            </w:r>
          </w:p>
        </w:tc>
        <w:tc>
          <w:tcPr>
            <w:tcW w:w="7420" w:type="dxa"/>
            <w:tcBorders>
              <w:top w:val="single" w:sz="4" w:space="0" w:color="auto"/>
              <w:left w:val="single" w:sz="4" w:space="0" w:color="auto"/>
              <w:bottom w:val="single" w:sz="4" w:space="0" w:color="auto"/>
              <w:right w:val="single" w:sz="4" w:space="0" w:color="auto"/>
            </w:tcBorders>
            <w:vAlign w:val="center"/>
          </w:tcPr>
          <w:p w14:paraId="35FFD5C0"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VFD riska darījumu vērtība</w:t>
            </w:r>
          </w:p>
          <w:p w14:paraId="56D707C5" w14:textId="5C4FBC5B"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rPr>
              <w:t xml:space="preserve">Iestādes norāda VFD riska darījumu dienas vērtības pārskata ceturksnī, no kurām atskaitīta atbrīvoto </w:t>
            </w:r>
            <w:r>
              <w:rPr>
                <w:rFonts w:ascii="Times New Roman" w:hAnsi="Times New Roman"/>
                <w:i/>
                <w:iCs/>
                <w:color w:val="auto"/>
                <w:sz w:val="24"/>
              </w:rPr>
              <w:t>CCP</w:t>
            </w:r>
            <w:r>
              <w:rPr>
                <w:rFonts w:ascii="Times New Roman" w:hAnsi="Times New Roman"/>
                <w:color w:val="auto"/>
                <w:sz w:val="24"/>
              </w:rPr>
              <w:t xml:space="preserve"> daļa tirdzniecības riska darījumos ar klientu veiktu </w:t>
            </w:r>
            <w:proofErr w:type="spellStart"/>
            <w:r>
              <w:rPr>
                <w:rFonts w:ascii="Times New Roman" w:hAnsi="Times New Roman"/>
                <w:color w:val="auto"/>
                <w:sz w:val="24"/>
              </w:rPr>
              <w:t>tīrvērti</w:t>
            </w:r>
            <w:proofErr w:type="spellEnd"/>
            <w:r>
              <w:rPr>
                <w:rFonts w:ascii="Times New Roman" w:hAnsi="Times New Roman"/>
                <w:color w:val="auto"/>
                <w:sz w:val="24"/>
              </w:rPr>
              <w:t>, kas norādīta C47.00 veidnes 0010. un 0050. rindā.</w:t>
            </w:r>
          </w:p>
        </w:tc>
      </w:tr>
      <w:tr w:rsidR="001D7541" w:rsidRPr="00E75BB8" w14:paraId="324DD46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6E82E7F5"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sz w:val="24"/>
              </w:rPr>
              <w:t>{0010;0030}</w:t>
            </w:r>
          </w:p>
        </w:tc>
        <w:tc>
          <w:tcPr>
            <w:tcW w:w="7420" w:type="dxa"/>
            <w:tcBorders>
              <w:top w:val="single" w:sz="4" w:space="0" w:color="auto"/>
              <w:left w:val="single" w:sz="4" w:space="0" w:color="auto"/>
              <w:bottom w:val="single" w:sz="4" w:space="0" w:color="auto"/>
              <w:right w:val="single" w:sz="4" w:space="0" w:color="auto"/>
            </w:tcBorders>
            <w:vAlign w:val="center"/>
          </w:tcPr>
          <w:p w14:paraId="2F098237" w14:textId="77777777" w:rsidR="001D7541" w:rsidRPr="000B66BC" w:rsidRDefault="00640D9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Korekcija attiecībā uz darījumiem, kuri uzskaitīti kā VFD tirdzniecība</w:t>
            </w:r>
          </w:p>
          <w:p w14:paraId="757C080D" w14:textId="4E51B80D" w:rsidR="00926849"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sz w:val="24"/>
              </w:rPr>
              <w:t>Iestādes uzrāda C47.00. veidnes 0230. rindā norādīto korekciju attiecībā uz darījumiem, kuri uzskaitīti kā VFD tirdzniecība, dienas vērtības pārskata ceturksnī.</w:t>
            </w:r>
          </w:p>
        </w:tc>
      </w:tr>
    </w:tbl>
    <w:p w14:paraId="49B21AC1" w14:textId="77777777" w:rsidR="0009615C" w:rsidRPr="000B66BC" w:rsidRDefault="0009615C" w:rsidP="000B66BC">
      <w:pPr>
        <w:pStyle w:val="BodyText1"/>
        <w:spacing w:after="240"/>
        <w:rPr>
          <w:rFonts w:ascii="Times New Roman" w:hAnsi="Times New Roman"/>
          <w:sz w:val="24"/>
          <w:szCs w:val="24"/>
        </w:rPr>
      </w:pPr>
    </w:p>
    <w:sectPr w:rsidR="0009615C" w:rsidRPr="000B66BC" w:rsidSect="005315D3">
      <w:headerReference w:type="even" r:id="rId18"/>
      <w:headerReference w:type="default" r:id="rId19"/>
      <w:footerReference w:type="default" r:id="rId20"/>
      <w:headerReference w:type="first" r:id="rId21"/>
      <w:footerReference w:type="first" r:id="rId22"/>
      <w:pgSz w:w="11906" w:h="16838" w:code="9"/>
      <w:pgMar w:top="1522" w:right="1418" w:bottom="1560" w:left="1418" w:header="851" w:footer="141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BB38B" w14:textId="77777777" w:rsidR="00120E99" w:rsidRDefault="00120E99">
      <w:r>
        <w:separator/>
      </w:r>
    </w:p>
  </w:endnote>
  <w:endnote w:type="continuationSeparator" w:id="0">
    <w:p w14:paraId="4573961A" w14:textId="77777777" w:rsidR="00120E99" w:rsidRDefault="00120E99">
      <w:r>
        <w:continuationSeparator/>
      </w:r>
    </w:p>
  </w:endnote>
  <w:endnote w:type="continuationNotice" w:id="1">
    <w:p w14:paraId="31820829" w14:textId="77777777" w:rsidR="00120E99" w:rsidRDefault="00120E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Calibri"/>
    <w:panose1 w:val="00000000000000000000"/>
    <w:charset w:val="00"/>
    <w:family w:val="roman"/>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C160F" w14:textId="2B225E98" w:rsidR="000B66BC" w:rsidRPr="00A772B4" w:rsidRDefault="000B66BC">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Pr>
        <w:rFonts w:ascii="Times New Roman" w:hAnsi="Times New Roman"/>
      </w:rPr>
      <w:t>2</w:t>
    </w:r>
    <w:r w:rsidRPr="00A772B4">
      <w:rPr>
        <w:rFonts w:ascii="Times New Roman" w:hAnsi="Times New Roman"/>
      </w:rPr>
      <w:fldChar w:fldCharType="end"/>
    </w:r>
  </w:p>
  <w:p w14:paraId="2D971917" w14:textId="77777777" w:rsidR="000B66BC" w:rsidRDefault="000B66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8305317"/>
      <w:docPartObj>
        <w:docPartGallery w:val="Page Numbers (Bottom of Page)"/>
        <w:docPartUnique/>
      </w:docPartObj>
    </w:sdtPr>
    <w:sdtEndPr>
      <w:rPr>
        <w:noProof/>
      </w:rPr>
    </w:sdtEndPr>
    <w:sdtContent>
      <w:p w14:paraId="5677655A" w14:textId="0638364B" w:rsidR="000B66BC" w:rsidRDefault="000B66BC">
        <w:pPr>
          <w:pStyle w:val="Footer"/>
          <w:jc w:val="center"/>
        </w:pPr>
        <w:r>
          <w:fldChar w:fldCharType="begin"/>
        </w:r>
        <w:r>
          <w:instrText xml:space="preserve"> PAGE   \* MERGEFORMAT </w:instrText>
        </w:r>
        <w:r>
          <w:fldChar w:fldCharType="separate"/>
        </w:r>
        <w:r w:rsidR="00A84D67">
          <w:t>1</w:t>
        </w:r>
        <w:r>
          <w:fldChar w:fldCharType="end"/>
        </w:r>
      </w:p>
    </w:sdtContent>
  </w:sdt>
  <w:p w14:paraId="3D7804EA" w14:textId="77777777" w:rsidR="000B66BC" w:rsidRDefault="000B66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sz w:val="20"/>
      </w:rPr>
      <w:id w:val="17201704"/>
      <w:docPartObj>
        <w:docPartGallery w:val="Page Numbers (Bottom of Page)"/>
        <w:docPartUnique/>
      </w:docPartObj>
    </w:sdtPr>
    <w:sdtContent>
      <w:p w14:paraId="3FFD22B5" w14:textId="039A8FD3" w:rsidR="000B66BC" w:rsidRPr="009A78F0" w:rsidRDefault="000B66BC" w:rsidP="009A78F0">
        <w:pPr>
          <w:pStyle w:val="Footer"/>
          <w:spacing w:line="240" w:lineRule="auto"/>
          <w:jc w:val="center"/>
          <w:rPr>
            <w:rFonts w:ascii="Times New Roman" w:hAnsi="Times New Roman"/>
            <w:sz w:val="20"/>
          </w:rPr>
        </w:pPr>
        <w:r w:rsidRPr="009A78F0">
          <w:rPr>
            <w:rFonts w:ascii="Times New Roman" w:hAnsi="Times New Roman"/>
            <w:sz w:val="20"/>
          </w:rPr>
          <w:fldChar w:fldCharType="begin"/>
        </w:r>
        <w:r w:rsidRPr="009A78F0">
          <w:rPr>
            <w:rFonts w:ascii="Times New Roman" w:hAnsi="Times New Roman"/>
            <w:sz w:val="20"/>
          </w:rPr>
          <w:instrText xml:space="preserve"> PAGE   \* MERGEFORMAT </w:instrText>
        </w:r>
        <w:r w:rsidRPr="009A78F0">
          <w:rPr>
            <w:rFonts w:ascii="Times New Roman" w:hAnsi="Times New Roman"/>
            <w:sz w:val="20"/>
          </w:rPr>
          <w:fldChar w:fldCharType="separate"/>
        </w:r>
        <w:r w:rsidR="00A84D67">
          <w:rPr>
            <w:rFonts w:ascii="Times New Roman" w:hAnsi="Times New Roman"/>
            <w:sz w:val="20"/>
          </w:rPr>
          <w:t>3</w:t>
        </w:r>
        <w:r w:rsidRPr="009A78F0">
          <w:rPr>
            <w:rFonts w:ascii="Times New Roman" w:hAnsi="Times New Roman"/>
            <w:sz w:val="20"/>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01700"/>
      <w:docPartObj>
        <w:docPartGallery w:val="Page Numbers (Bottom of Page)"/>
        <w:docPartUnique/>
      </w:docPartObj>
    </w:sdtPr>
    <w:sdtContent>
      <w:p w14:paraId="58D08035" w14:textId="77777777" w:rsidR="000B66BC" w:rsidRDefault="000B66BC">
        <w:pPr>
          <w:pStyle w:val="Footer"/>
          <w:jc w:val="right"/>
        </w:pPr>
        <w:r>
          <w:fldChar w:fldCharType="begin"/>
        </w:r>
        <w:r>
          <w:instrText xml:space="preserve"> PAGE   \* MERGEFORMAT </w:instrText>
        </w:r>
        <w:r>
          <w:fldChar w:fldCharType="separate"/>
        </w:r>
        <w:r>
          <w:t>4</w:t>
        </w:r>
        <w:r>
          <w:t>4</w:t>
        </w:r>
        <w:r>
          <w:fldChar w:fldCharType="end"/>
        </w:r>
      </w:p>
    </w:sdtContent>
  </w:sdt>
  <w:p w14:paraId="51D344E0" w14:textId="77777777" w:rsidR="000B66BC" w:rsidRDefault="000B66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F03E4B" w14:textId="77777777" w:rsidR="00120E99" w:rsidRPr="004D223F" w:rsidRDefault="00120E99" w:rsidP="00C7701D">
      <w:r>
        <w:continuationSeparator/>
      </w:r>
    </w:p>
  </w:footnote>
  <w:footnote w:type="continuationSeparator" w:id="0">
    <w:p w14:paraId="463162BA" w14:textId="77777777" w:rsidR="00120E99" w:rsidRDefault="00120E99">
      <w:r>
        <w:continuationSeparator/>
      </w:r>
    </w:p>
  </w:footnote>
  <w:footnote w:type="continuationNotice" w:id="1">
    <w:p w14:paraId="36358108" w14:textId="77777777" w:rsidR="00120E99" w:rsidRDefault="00120E9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359B9" w14:textId="4F64E569" w:rsidR="000B66BC" w:rsidRDefault="001F5E87">
    <w:pPr>
      <w:pStyle w:val="Header"/>
    </w:pPr>
    <w:r>
      <w:rPr>
        <w:noProof/>
      </w:rPr>
      <mc:AlternateContent>
        <mc:Choice Requires="wps">
          <w:drawing>
            <wp:anchor distT="0" distB="0" distL="0" distR="0" simplePos="0" relativeHeight="251658242" behindDoc="0" locked="0" layoutInCell="1" allowOverlap="1" wp14:anchorId="6CC1CACD" wp14:editId="1936BD4F">
              <wp:simplePos x="635" y="635"/>
              <wp:positionH relativeFrom="page">
                <wp:align>left</wp:align>
              </wp:positionH>
              <wp:positionV relativeFrom="page">
                <wp:align>top</wp:align>
              </wp:positionV>
              <wp:extent cx="443865" cy="443865"/>
              <wp:effectExtent l="0" t="0" r="3175" b="4445"/>
              <wp:wrapNone/>
              <wp:docPr id="489624914" name="Text Box 489624914"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355D8BC" w14:textId="1F687825" w:rsidR="001F5E87" w:rsidRPr="001F5E87" w:rsidRDefault="001F5E87" w:rsidP="001F5E87">
                          <w:pPr>
                            <w:rPr>
                              <w:rFonts w:ascii="Calibri" w:eastAsia="Calibri" w:hAnsi="Calibri" w:cs="Calibri"/>
                              <w:noProof/>
                              <w:sz w:val="24"/>
                              <w:szCs w:val="24"/>
                            </w:rPr>
                          </w:pPr>
                          <w:r>
                            <w:rPr>
                              <w:rFonts w:ascii="Calibri" w:hAnsi="Calibri"/>
                              <w:sz w:val="24"/>
                            </w:rPr>
                            <w:t>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CC1CACD" id="_x0000_t202" coordsize="21600,21600" o:spt="202" path="m,l,21600r21600,l21600,xe">
              <v:stroke joinstyle="miter"/>
              <v:path gradientshapeok="t" o:connecttype="rect"/>
            </v:shapetype>
            <v:shape id="Text Box 489624914" o:spid="_x0000_s1026" type="#_x0000_t202" alt="EBI oficiālai lietošanai" style="position:absolute;left:0;text-align:left;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5355D8BC" w14:textId="1F687825" w:rsidR="001F5E87" w:rsidRPr="001F5E87" w:rsidRDefault="001F5E87" w:rsidP="001F5E87">
                    <w:pPr>
                      <w:rPr>
                        <w:rFonts w:ascii="Calibri" w:eastAsia="Calibri" w:hAnsi="Calibri" w:cs="Calibri"/>
                        <w:noProof/>
                        <w:sz w:val="24"/>
                        <w:szCs w:val="24"/>
                      </w:rPr>
                    </w:pPr>
                    <w:r>
                      <w:rPr>
                        <w:rFonts w:ascii="Calibri" w:hAnsi="Calibri"/>
                        <w:sz w:val="24"/>
                      </w:rPr>
                      <w:t>EBI oficiālai lietošanai</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F71AD" w14:textId="5352D09C" w:rsidR="000B66BC" w:rsidRPr="00B93D0F" w:rsidRDefault="001F5E87" w:rsidP="00B93D0F">
    <w:pPr>
      <w:pStyle w:val="Header"/>
    </w:pPr>
    <w:r>
      <w:rPr>
        <w:noProof/>
      </w:rPr>
      <mc:AlternateContent>
        <mc:Choice Requires="wps">
          <w:drawing>
            <wp:anchor distT="0" distB="0" distL="0" distR="0" simplePos="0" relativeHeight="251658243" behindDoc="0" locked="0" layoutInCell="1" allowOverlap="1" wp14:anchorId="2B19CDBC" wp14:editId="0EA62CA6">
              <wp:simplePos x="635" y="635"/>
              <wp:positionH relativeFrom="page">
                <wp:align>left</wp:align>
              </wp:positionH>
              <wp:positionV relativeFrom="page">
                <wp:align>top</wp:align>
              </wp:positionV>
              <wp:extent cx="443865" cy="443865"/>
              <wp:effectExtent l="0" t="0" r="3175" b="4445"/>
              <wp:wrapNone/>
              <wp:docPr id="499333934" name="Text Box 499333934"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AF00E0" w14:textId="27C18584" w:rsidR="001F5E87" w:rsidRPr="001F5E87" w:rsidRDefault="001F5E87" w:rsidP="001F5E87">
                          <w:pPr>
                            <w:rPr>
                              <w:rFonts w:ascii="Calibri" w:eastAsia="Calibri" w:hAnsi="Calibri" w:cs="Calibri"/>
                              <w:noProof/>
                              <w:sz w:val="24"/>
                              <w:szCs w:val="24"/>
                            </w:rPr>
                          </w:pPr>
                          <w:r>
                            <w:rPr>
                              <w:rFonts w:ascii="Calibri" w:hAnsi="Calibri"/>
                              <w:sz w:val="24"/>
                            </w:rPr>
                            <w:t>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B19CDBC" id="_x0000_t202" coordsize="21600,21600" o:spt="202" path="m,l,21600r21600,l21600,xe">
              <v:stroke joinstyle="miter"/>
              <v:path gradientshapeok="t" o:connecttype="rect"/>
            </v:shapetype>
            <v:shape id="Text Box 499333934" o:spid="_x0000_s1027" type="#_x0000_t202" alt="EBI oficiālai lietošanai" style="position:absolute;left:0;text-align:left;margin-left:0;margin-top:0;width:34.95pt;height:34.95pt;z-index:251658243;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6FAF00E0" w14:textId="27C18584" w:rsidR="001F5E87" w:rsidRPr="001F5E87" w:rsidRDefault="001F5E87" w:rsidP="001F5E87">
                    <w:pPr>
                      <w:rPr>
                        <w:rFonts w:ascii="Calibri" w:eastAsia="Calibri" w:hAnsi="Calibri" w:cs="Calibri"/>
                        <w:noProof/>
                        <w:sz w:val="24"/>
                        <w:szCs w:val="24"/>
                      </w:rPr>
                    </w:pPr>
                    <w:r>
                      <w:rPr>
                        <w:rFonts w:ascii="Calibri" w:hAnsi="Calibri"/>
                        <w:sz w:val="24"/>
                      </w:rPr>
                      <w:t>EBI oficiālai lietošanai</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32A18" w14:textId="244788FF" w:rsidR="000B66BC" w:rsidRPr="000B66BC" w:rsidRDefault="001F5E87" w:rsidP="000B66BC">
    <w:pPr>
      <w:pStyle w:val="Header"/>
    </w:pPr>
    <w:r>
      <w:rPr>
        <w:noProof/>
      </w:rPr>
      <mc:AlternateContent>
        <mc:Choice Requires="wps">
          <w:drawing>
            <wp:anchor distT="0" distB="0" distL="0" distR="0" simplePos="0" relativeHeight="251658241" behindDoc="0" locked="0" layoutInCell="1" allowOverlap="1" wp14:anchorId="675F660B" wp14:editId="78920B4E">
              <wp:simplePos x="635" y="635"/>
              <wp:positionH relativeFrom="page">
                <wp:align>left</wp:align>
              </wp:positionH>
              <wp:positionV relativeFrom="page">
                <wp:align>top</wp:align>
              </wp:positionV>
              <wp:extent cx="443865" cy="443865"/>
              <wp:effectExtent l="0" t="0" r="3175" b="4445"/>
              <wp:wrapNone/>
              <wp:docPr id="1102765287" name="Text Box 1102765287"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A62D41A" w14:textId="4C6FCB87" w:rsidR="001F5E87" w:rsidRPr="001F5E87" w:rsidRDefault="001F5E87" w:rsidP="001F5E87">
                          <w:pPr>
                            <w:rPr>
                              <w:rFonts w:ascii="Calibri" w:eastAsia="Calibri" w:hAnsi="Calibri" w:cs="Calibri"/>
                              <w:noProof/>
                              <w:sz w:val="24"/>
                              <w:szCs w:val="24"/>
                            </w:rPr>
                          </w:pPr>
                          <w:r>
                            <w:rPr>
                              <w:rFonts w:ascii="Calibri" w:hAnsi="Calibri"/>
                              <w:sz w:val="24"/>
                            </w:rPr>
                            <w:t>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75F660B" id="_x0000_t202" coordsize="21600,21600" o:spt="202" path="m,l,21600r21600,l21600,xe">
              <v:stroke joinstyle="miter"/>
              <v:path gradientshapeok="t" o:connecttype="rect"/>
            </v:shapetype>
            <v:shape id="Text Box 1102765287" o:spid="_x0000_s1028" type="#_x0000_t202" alt="EBI oficiālai lietošanai" style="position:absolute;left:0;text-align:left;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A62D41A" w14:textId="4C6FCB87" w:rsidR="001F5E87" w:rsidRPr="001F5E87" w:rsidRDefault="001F5E87" w:rsidP="001F5E87">
                    <w:pPr>
                      <w:rPr>
                        <w:rFonts w:ascii="Calibri" w:eastAsia="Calibri" w:hAnsi="Calibri" w:cs="Calibri"/>
                        <w:noProof/>
                        <w:sz w:val="24"/>
                        <w:szCs w:val="24"/>
                      </w:rPr>
                    </w:pPr>
                    <w:r>
                      <w:rPr>
                        <w:rFonts w:ascii="Calibri" w:hAnsi="Calibri"/>
                        <w:sz w:val="24"/>
                      </w:rPr>
                      <w:t>EBI oficiālai lietošanai</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E0DCE" w14:textId="0A918D55" w:rsidR="001F5E87" w:rsidRDefault="001F5E87">
    <w:pPr>
      <w:pStyle w:val="Header"/>
    </w:pPr>
    <w:r>
      <w:rPr>
        <w:noProof/>
      </w:rPr>
      <mc:AlternateContent>
        <mc:Choice Requires="wps">
          <w:drawing>
            <wp:anchor distT="0" distB="0" distL="0" distR="0" simplePos="0" relativeHeight="251658245" behindDoc="0" locked="0" layoutInCell="1" allowOverlap="1" wp14:anchorId="0CE7BC3D" wp14:editId="42490FE9">
              <wp:simplePos x="635" y="635"/>
              <wp:positionH relativeFrom="page">
                <wp:align>left</wp:align>
              </wp:positionH>
              <wp:positionV relativeFrom="page">
                <wp:align>top</wp:align>
              </wp:positionV>
              <wp:extent cx="443865" cy="443865"/>
              <wp:effectExtent l="0" t="0" r="3175" b="4445"/>
              <wp:wrapNone/>
              <wp:docPr id="1344682523" name="Text Box 1344682523"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22957A" w14:textId="45CD2FFA" w:rsidR="001F5E87" w:rsidRPr="001F5E87" w:rsidRDefault="001F5E87" w:rsidP="001F5E87">
                          <w:pPr>
                            <w:rPr>
                              <w:rFonts w:ascii="Calibri" w:eastAsia="Calibri" w:hAnsi="Calibri" w:cs="Calibri"/>
                              <w:noProof/>
                              <w:sz w:val="24"/>
                              <w:szCs w:val="24"/>
                            </w:rPr>
                          </w:pPr>
                          <w:r>
                            <w:rPr>
                              <w:rFonts w:ascii="Calibri" w:hAnsi="Calibri"/>
                              <w:sz w:val="24"/>
                            </w:rPr>
                            <w:t>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CE7BC3D" id="_x0000_t202" coordsize="21600,21600" o:spt="202" path="m,l,21600r21600,l21600,xe">
              <v:stroke joinstyle="miter"/>
              <v:path gradientshapeok="t" o:connecttype="rect"/>
            </v:shapetype>
            <v:shape id="Text Box 1344682523" o:spid="_x0000_s1029" type="#_x0000_t202" alt="EBI oficiālai lietošanai" style="position:absolute;left:0;text-align:left;margin-left:0;margin-top:0;width:34.95pt;height:34.95pt;z-index:251658245;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BI6APDDwIAACEE&#10;AAAOAAAAAAAAAAAAAAAAAC4CAABkcnMvZTJvRG9jLnhtbFBLAQItABQABgAIAAAAIQBzm59s2QAA&#10;AAMBAAAPAAAAAAAAAAAAAAAAAGkEAABkcnMvZG93bnJldi54bWxQSwUGAAAAAAQABADzAAAAbwUA&#10;AAAA&#10;" filled="f" stroked="f">
              <v:textbox style="mso-fit-shape-to-text:t" inset="20pt,15pt,0,0">
                <w:txbxContent>
                  <w:p w14:paraId="2C22957A" w14:textId="45CD2FFA" w:rsidR="001F5E87" w:rsidRPr="001F5E87" w:rsidRDefault="001F5E87" w:rsidP="001F5E87">
                    <w:pPr>
                      <w:rPr>
                        <w:rFonts w:ascii="Calibri" w:eastAsia="Calibri" w:hAnsi="Calibri" w:cs="Calibri"/>
                        <w:noProof/>
                        <w:sz w:val="24"/>
                        <w:szCs w:val="24"/>
                      </w:rPr>
                    </w:pPr>
                    <w:r>
                      <w:rPr>
                        <w:rFonts w:ascii="Calibri" w:hAnsi="Calibri"/>
                        <w:sz w:val="24"/>
                      </w:rPr>
                      <w:t>EBI oficiālai lietošanai</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E0FDF" w14:textId="1BA26D02" w:rsidR="001F5E87" w:rsidRDefault="001F5E87">
    <w:pPr>
      <w:pStyle w:val="Header"/>
    </w:pPr>
    <w:r>
      <w:rPr>
        <w:noProof/>
      </w:rPr>
      <mc:AlternateContent>
        <mc:Choice Requires="wps">
          <w:drawing>
            <wp:anchor distT="0" distB="0" distL="0" distR="0" simplePos="0" relativeHeight="251658246" behindDoc="0" locked="0" layoutInCell="1" allowOverlap="1" wp14:anchorId="413C97DB" wp14:editId="73722359">
              <wp:simplePos x="635" y="635"/>
              <wp:positionH relativeFrom="page">
                <wp:align>left</wp:align>
              </wp:positionH>
              <wp:positionV relativeFrom="page">
                <wp:align>top</wp:align>
              </wp:positionV>
              <wp:extent cx="443865" cy="443865"/>
              <wp:effectExtent l="0" t="0" r="3175" b="4445"/>
              <wp:wrapNone/>
              <wp:docPr id="926357965" name="Text Box 926357965"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E8B35F7" w14:textId="6DA22982" w:rsidR="001F5E87" w:rsidRPr="001F5E87" w:rsidRDefault="001F5E87" w:rsidP="001F5E87">
                          <w:pPr>
                            <w:rPr>
                              <w:rFonts w:ascii="Calibri" w:eastAsia="Calibri" w:hAnsi="Calibri" w:cs="Calibri"/>
                              <w:noProof/>
                              <w:sz w:val="24"/>
                              <w:szCs w:val="24"/>
                            </w:rPr>
                          </w:pPr>
                          <w:r>
                            <w:rPr>
                              <w:rFonts w:ascii="Calibri" w:hAnsi="Calibri"/>
                              <w:sz w:val="24"/>
                            </w:rPr>
                            <w:t>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13C97DB" id="_x0000_t202" coordsize="21600,21600" o:spt="202" path="m,l,21600r21600,l21600,xe">
              <v:stroke joinstyle="miter"/>
              <v:path gradientshapeok="t" o:connecttype="rect"/>
            </v:shapetype>
            <v:shape id="Text Box 926357965" o:spid="_x0000_s1030" type="#_x0000_t202" alt="EBI oficiālai lietošanai" style="position:absolute;left:0;text-align:left;margin-left:0;margin-top:0;width:34.95pt;height:34.95pt;z-index:251658246;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AaS2XODwIAACEE&#10;AAAOAAAAAAAAAAAAAAAAAC4CAABkcnMvZTJvRG9jLnhtbFBLAQItABQABgAIAAAAIQBzm59s2QAA&#10;AAMBAAAPAAAAAAAAAAAAAAAAAGkEAABkcnMvZG93bnJldi54bWxQSwUGAAAAAAQABADzAAAAbwUA&#10;AAAA&#10;" filled="f" stroked="f">
              <v:textbox style="mso-fit-shape-to-text:t" inset="20pt,15pt,0,0">
                <w:txbxContent>
                  <w:p w14:paraId="6E8B35F7" w14:textId="6DA22982" w:rsidR="001F5E87" w:rsidRPr="001F5E87" w:rsidRDefault="001F5E87" w:rsidP="001F5E87">
                    <w:pPr>
                      <w:rPr>
                        <w:rFonts w:ascii="Calibri" w:eastAsia="Calibri" w:hAnsi="Calibri" w:cs="Calibri"/>
                        <w:noProof/>
                        <w:sz w:val="24"/>
                        <w:szCs w:val="24"/>
                      </w:rPr>
                    </w:pPr>
                    <w:r>
                      <w:rPr>
                        <w:rFonts w:ascii="Calibri" w:hAnsi="Calibri"/>
                        <w:sz w:val="24"/>
                      </w:rPr>
                      <w:t>EBI oficiālai lietošanai</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B18FA" w14:textId="0DC306E7" w:rsidR="000B66BC" w:rsidRDefault="001F5E87">
    <w:pPr>
      <w:pStyle w:val="Header"/>
      <w:tabs>
        <w:tab w:val="clear" w:pos="8306"/>
        <w:tab w:val="right" w:pos="9072"/>
      </w:tabs>
      <w:jc w:val="right"/>
      <w:rPr>
        <w:noProof/>
      </w:rPr>
    </w:pPr>
    <w:r>
      <w:rPr>
        <w:noProof/>
      </w:rPr>
      <mc:AlternateContent>
        <mc:Choice Requires="wps">
          <w:drawing>
            <wp:anchor distT="0" distB="0" distL="0" distR="0" simplePos="0" relativeHeight="251658244" behindDoc="0" locked="0" layoutInCell="1" allowOverlap="1" wp14:anchorId="0DEC7D00" wp14:editId="002029F1">
              <wp:simplePos x="635" y="635"/>
              <wp:positionH relativeFrom="page">
                <wp:align>left</wp:align>
              </wp:positionH>
              <wp:positionV relativeFrom="page">
                <wp:align>top</wp:align>
              </wp:positionV>
              <wp:extent cx="443865" cy="443865"/>
              <wp:effectExtent l="0" t="0" r="3175" b="4445"/>
              <wp:wrapNone/>
              <wp:docPr id="284483510" name="Text Box 284483510"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2079A16" w14:textId="68AF0758" w:rsidR="001F5E87" w:rsidRPr="001F5E87" w:rsidRDefault="001F5E87" w:rsidP="001F5E87">
                          <w:pPr>
                            <w:rPr>
                              <w:rFonts w:ascii="Calibri" w:eastAsia="Calibri" w:hAnsi="Calibri" w:cs="Calibri"/>
                              <w:noProof/>
                              <w:sz w:val="24"/>
                              <w:szCs w:val="24"/>
                            </w:rPr>
                          </w:pPr>
                          <w:r>
                            <w:rPr>
                              <w:rFonts w:ascii="Calibri" w:hAnsi="Calibri"/>
                              <w:sz w:val="24"/>
                            </w:rPr>
                            <w:t>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DEC7D00" id="_x0000_t202" coordsize="21600,21600" o:spt="202" path="m,l,21600r21600,l21600,xe">
              <v:stroke joinstyle="miter"/>
              <v:path gradientshapeok="t" o:connecttype="rect"/>
            </v:shapetype>
            <v:shape id="Text Box 284483510" o:spid="_x0000_s1031" type="#_x0000_t202" alt="EBI oficiālai lietošanai" style="position:absolute;left:0;text-align:left;margin-left:0;margin-top:0;width:34.95pt;height:34.95pt;z-index:25165824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ORG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K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DqxORGDwIAACEE&#10;AAAOAAAAAAAAAAAAAAAAAC4CAABkcnMvZTJvRG9jLnhtbFBLAQItABQABgAIAAAAIQBzm59s2QAA&#10;AAMBAAAPAAAAAAAAAAAAAAAAAGkEAABkcnMvZG93bnJldi54bWxQSwUGAAAAAAQABADzAAAAbwUA&#10;AAAA&#10;" filled="f" stroked="f">
              <v:textbox style="mso-fit-shape-to-text:t" inset="20pt,15pt,0,0">
                <w:txbxContent>
                  <w:p w14:paraId="32079A16" w14:textId="68AF0758" w:rsidR="001F5E87" w:rsidRPr="001F5E87" w:rsidRDefault="001F5E87" w:rsidP="001F5E87">
                    <w:pPr>
                      <w:rPr>
                        <w:rFonts w:ascii="Calibri" w:eastAsia="Calibri" w:hAnsi="Calibri" w:cs="Calibri"/>
                        <w:noProof/>
                        <w:sz w:val="24"/>
                        <w:szCs w:val="24"/>
                      </w:rPr>
                    </w:pPr>
                    <w:r>
                      <w:rPr>
                        <w:rFonts w:ascii="Calibri" w:hAnsi="Calibri"/>
                        <w:sz w:val="24"/>
                      </w:rPr>
                      <w:t>EBI oficiālai lietošanai</w:t>
                    </w:r>
                  </w:p>
                </w:txbxContent>
              </v:textbox>
              <w10:wrap anchorx="page" anchory="page"/>
            </v:shape>
          </w:pict>
        </mc:Fallback>
      </mc:AlternateContent>
    </w:r>
    <w:r>
      <w:rPr>
        <w:noProof/>
      </w:rPr>
      <mc:AlternateContent>
        <mc:Choice Requires="wps">
          <w:drawing>
            <wp:anchor distT="4294967294" distB="4294967294" distL="114300" distR="114300" simplePos="0" relativeHeight="251658240" behindDoc="1" locked="1" layoutInCell="0" allowOverlap="1" wp14:anchorId="724668FC" wp14:editId="123690D9">
              <wp:simplePos x="0" y="0"/>
              <wp:positionH relativeFrom="page">
                <wp:posOffset>896620</wp:posOffset>
              </wp:positionH>
              <wp:positionV relativeFrom="page">
                <wp:posOffset>542289</wp:posOffset>
              </wp:positionV>
              <wp:extent cx="5760085" cy="0"/>
              <wp:effectExtent l="0" t="0" r="12065"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07861747" id="_x0000_t32" coordsize="21600,21600" o:spt="32" o:oned="t" path="m,l21600,21600e" filled="f">
              <v:path arrowok="t" fillok="f" o:connecttype="none"/>
              <o:lock v:ext="edit" shapetype="t"/>
            </v:shapetype>
            <v:shape id="Straight Arrow Connector 1" o:spid="_x0000_s1026" type="#_x0000_t32" style="position:absolute;margin-left:70.6pt;margin-top:42.7pt;width:453.55pt;height:0;flip:x;z-index:-251658240;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" o:allowincell="f" strokecolor="#48748f [3204]">
              <w10:wrap anchorx="page" anchory="page"/>
              <w10:anchorlock/>
            </v:shape>
          </w:pict>
        </mc:Fallback>
      </mc:AlternateContent>
    </w:r>
  </w:p>
  <w:p w14:paraId="530A286E" w14:textId="77777777" w:rsidR="000B66BC" w:rsidRDefault="000B66BC">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E5653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6"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97C64F8"/>
    <w:multiLevelType w:val="hybridMultilevel"/>
    <w:tmpl w:val="94C49C90"/>
    <w:lvl w:ilvl="0" w:tplc="BDAACF18">
      <w:start w:val="1"/>
      <w:numFmt w:val="decimal"/>
      <w:lvlText w:val="%1)"/>
      <w:lvlJc w:val="left"/>
      <w:pPr>
        <w:ind w:left="1440" w:hanging="360"/>
      </w:pPr>
    </w:lvl>
    <w:lvl w:ilvl="1" w:tplc="7E8AF492">
      <w:start w:val="1"/>
      <w:numFmt w:val="decimal"/>
      <w:lvlText w:val="%2)"/>
      <w:lvlJc w:val="left"/>
      <w:pPr>
        <w:ind w:left="1440" w:hanging="360"/>
      </w:pPr>
    </w:lvl>
    <w:lvl w:ilvl="2" w:tplc="39D2B360">
      <w:start w:val="1"/>
      <w:numFmt w:val="decimal"/>
      <w:lvlText w:val="%3)"/>
      <w:lvlJc w:val="left"/>
      <w:pPr>
        <w:ind w:left="1440" w:hanging="360"/>
      </w:pPr>
    </w:lvl>
    <w:lvl w:ilvl="3" w:tplc="F0801F8E">
      <w:start w:val="1"/>
      <w:numFmt w:val="decimal"/>
      <w:lvlText w:val="%4)"/>
      <w:lvlJc w:val="left"/>
      <w:pPr>
        <w:ind w:left="1440" w:hanging="360"/>
      </w:pPr>
    </w:lvl>
    <w:lvl w:ilvl="4" w:tplc="0F92C66E">
      <w:start w:val="1"/>
      <w:numFmt w:val="decimal"/>
      <w:lvlText w:val="%5)"/>
      <w:lvlJc w:val="left"/>
      <w:pPr>
        <w:ind w:left="1440" w:hanging="360"/>
      </w:pPr>
    </w:lvl>
    <w:lvl w:ilvl="5" w:tplc="E3B6500E">
      <w:start w:val="1"/>
      <w:numFmt w:val="decimal"/>
      <w:lvlText w:val="%6)"/>
      <w:lvlJc w:val="left"/>
      <w:pPr>
        <w:ind w:left="1440" w:hanging="360"/>
      </w:pPr>
    </w:lvl>
    <w:lvl w:ilvl="6" w:tplc="A2C4DFB4">
      <w:start w:val="1"/>
      <w:numFmt w:val="decimal"/>
      <w:lvlText w:val="%7)"/>
      <w:lvlJc w:val="left"/>
      <w:pPr>
        <w:ind w:left="1440" w:hanging="360"/>
      </w:pPr>
    </w:lvl>
    <w:lvl w:ilvl="7" w:tplc="B6D0C224">
      <w:start w:val="1"/>
      <w:numFmt w:val="decimal"/>
      <w:lvlText w:val="%8)"/>
      <w:lvlJc w:val="left"/>
      <w:pPr>
        <w:ind w:left="1440" w:hanging="360"/>
      </w:pPr>
    </w:lvl>
    <w:lvl w:ilvl="8" w:tplc="70167148">
      <w:start w:val="1"/>
      <w:numFmt w:val="decimal"/>
      <w:lvlText w:val="%9)"/>
      <w:lvlJc w:val="left"/>
      <w:pPr>
        <w:ind w:left="1440" w:hanging="360"/>
      </w:pPr>
    </w:lvl>
  </w:abstractNum>
  <w:abstractNum w:abstractNumId="8" w15:restartNumberingAfterBreak="0">
    <w:nsid w:val="1B251DF8"/>
    <w:multiLevelType w:val="hybridMultilevel"/>
    <w:tmpl w:val="F4945D44"/>
    <w:lvl w:ilvl="0" w:tplc="83B40950">
      <w:start w:val="1"/>
      <w:numFmt w:val="bullet"/>
      <w:lvlText w:val=""/>
      <w:lvlJc w:val="left"/>
      <w:pPr>
        <w:ind w:left="720" w:hanging="360"/>
      </w:pPr>
      <w:rPr>
        <w:rFonts w:ascii="Symbol" w:hAnsi="Symbol"/>
      </w:rPr>
    </w:lvl>
    <w:lvl w:ilvl="1" w:tplc="835CE6EA">
      <w:start w:val="1"/>
      <w:numFmt w:val="bullet"/>
      <w:lvlText w:val=""/>
      <w:lvlJc w:val="left"/>
      <w:pPr>
        <w:ind w:left="720" w:hanging="360"/>
      </w:pPr>
      <w:rPr>
        <w:rFonts w:ascii="Symbol" w:hAnsi="Symbol"/>
      </w:rPr>
    </w:lvl>
    <w:lvl w:ilvl="2" w:tplc="57C234AA">
      <w:start w:val="1"/>
      <w:numFmt w:val="bullet"/>
      <w:lvlText w:val=""/>
      <w:lvlJc w:val="left"/>
      <w:pPr>
        <w:ind w:left="720" w:hanging="360"/>
      </w:pPr>
      <w:rPr>
        <w:rFonts w:ascii="Symbol" w:hAnsi="Symbol"/>
      </w:rPr>
    </w:lvl>
    <w:lvl w:ilvl="3" w:tplc="DE38A6D4">
      <w:start w:val="1"/>
      <w:numFmt w:val="bullet"/>
      <w:lvlText w:val=""/>
      <w:lvlJc w:val="left"/>
      <w:pPr>
        <w:ind w:left="720" w:hanging="360"/>
      </w:pPr>
      <w:rPr>
        <w:rFonts w:ascii="Symbol" w:hAnsi="Symbol"/>
      </w:rPr>
    </w:lvl>
    <w:lvl w:ilvl="4" w:tplc="B560BA92">
      <w:start w:val="1"/>
      <w:numFmt w:val="bullet"/>
      <w:lvlText w:val=""/>
      <w:lvlJc w:val="left"/>
      <w:pPr>
        <w:ind w:left="720" w:hanging="360"/>
      </w:pPr>
      <w:rPr>
        <w:rFonts w:ascii="Symbol" w:hAnsi="Symbol"/>
      </w:rPr>
    </w:lvl>
    <w:lvl w:ilvl="5" w:tplc="FB6E752A">
      <w:start w:val="1"/>
      <w:numFmt w:val="bullet"/>
      <w:lvlText w:val=""/>
      <w:lvlJc w:val="left"/>
      <w:pPr>
        <w:ind w:left="720" w:hanging="360"/>
      </w:pPr>
      <w:rPr>
        <w:rFonts w:ascii="Symbol" w:hAnsi="Symbol"/>
      </w:rPr>
    </w:lvl>
    <w:lvl w:ilvl="6" w:tplc="454CD416">
      <w:start w:val="1"/>
      <w:numFmt w:val="bullet"/>
      <w:lvlText w:val=""/>
      <w:lvlJc w:val="left"/>
      <w:pPr>
        <w:ind w:left="720" w:hanging="360"/>
      </w:pPr>
      <w:rPr>
        <w:rFonts w:ascii="Symbol" w:hAnsi="Symbol"/>
      </w:rPr>
    </w:lvl>
    <w:lvl w:ilvl="7" w:tplc="EDFA14EA">
      <w:start w:val="1"/>
      <w:numFmt w:val="bullet"/>
      <w:lvlText w:val=""/>
      <w:lvlJc w:val="left"/>
      <w:pPr>
        <w:ind w:left="720" w:hanging="360"/>
      </w:pPr>
      <w:rPr>
        <w:rFonts w:ascii="Symbol" w:hAnsi="Symbol"/>
      </w:rPr>
    </w:lvl>
    <w:lvl w:ilvl="8" w:tplc="D9D20428">
      <w:start w:val="1"/>
      <w:numFmt w:val="bullet"/>
      <w:lvlText w:val=""/>
      <w:lvlJc w:val="left"/>
      <w:pPr>
        <w:ind w:left="720" w:hanging="360"/>
      </w:pPr>
      <w:rPr>
        <w:rFonts w:ascii="Symbol" w:hAnsi="Symbol"/>
      </w:rPr>
    </w:lvl>
  </w:abstractNum>
  <w:abstractNum w:abstractNumId="9"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1" w15:restartNumberingAfterBreak="0">
    <w:nsid w:val="1F1B7365"/>
    <w:multiLevelType w:val="hybridMultilevel"/>
    <w:tmpl w:val="60F28E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13" w15:restartNumberingAfterBreak="0">
    <w:nsid w:val="25C4782E"/>
    <w:multiLevelType w:val="hybridMultilevel"/>
    <w:tmpl w:val="E9340D3E"/>
    <w:lvl w:ilvl="0" w:tplc="69B0F6B4">
      <w:start w:val="1"/>
      <w:numFmt w:val="decimal"/>
      <w:lvlText w:val="%1."/>
      <w:lvlJc w:val="left"/>
      <w:pPr>
        <w:ind w:left="107" w:hanging="432"/>
      </w:pPr>
      <w:rPr>
        <w:rFonts w:ascii="Times New Roman" w:eastAsia="Cambria" w:hAnsi="Times New Roman" w:cs="Times New Roman" w:hint="default"/>
        <w:w w:val="99"/>
        <w:sz w:val="24"/>
        <w:szCs w:val="24"/>
        <w:lang w:val="en-US" w:eastAsia="en-US" w:bidi="en-US"/>
      </w:rPr>
    </w:lvl>
    <w:lvl w:ilvl="1" w:tplc="769CDF62">
      <w:numFmt w:val="bullet"/>
      <w:lvlText w:val="•"/>
      <w:lvlJc w:val="left"/>
      <w:pPr>
        <w:ind w:left="1032" w:hanging="432"/>
      </w:pPr>
      <w:rPr>
        <w:lang w:val="en-US" w:eastAsia="en-US" w:bidi="en-US"/>
      </w:rPr>
    </w:lvl>
    <w:lvl w:ilvl="2" w:tplc="6D28036C">
      <w:numFmt w:val="bullet"/>
      <w:lvlText w:val="•"/>
      <w:lvlJc w:val="left"/>
      <w:pPr>
        <w:ind w:left="1965" w:hanging="432"/>
      </w:pPr>
      <w:rPr>
        <w:lang w:val="en-US" w:eastAsia="en-US" w:bidi="en-US"/>
      </w:rPr>
    </w:lvl>
    <w:lvl w:ilvl="3" w:tplc="A2FC0E62">
      <w:numFmt w:val="bullet"/>
      <w:lvlText w:val="•"/>
      <w:lvlJc w:val="left"/>
      <w:pPr>
        <w:ind w:left="2897" w:hanging="432"/>
      </w:pPr>
      <w:rPr>
        <w:lang w:val="en-US" w:eastAsia="en-US" w:bidi="en-US"/>
      </w:rPr>
    </w:lvl>
    <w:lvl w:ilvl="4" w:tplc="421C7C0E">
      <w:numFmt w:val="bullet"/>
      <w:lvlText w:val="•"/>
      <w:lvlJc w:val="left"/>
      <w:pPr>
        <w:ind w:left="3830" w:hanging="432"/>
      </w:pPr>
      <w:rPr>
        <w:lang w:val="en-US" w:eastAsia="en-US" w:bidi="en-US"/>
      </w:rPr>
    </w:lvl>
    <w:lvl w:ilvl="5" w:tplc="9D64ABBC">
      <w:numFmt w:val="bullet"/>
      <w:lvlText w:val="•"/>
      <w:lvlJc w:val="left"/>
      <w:pPr>
        <w:ind w:left="4762" w:hanging="432"/>
      </w:pPr>
      <w:rPr>
        <w:lang w:val="en-US" w:eastAsia="en-US" w:bidi="en-US"/>
      </w:rPr>
    </w:lvl>
    <w:lvl w:ilvl="6" w:tplc="E174AD06">
      <w:numFmt w:val="bullet"/>
      <w:lvlText w:val="•"/>
      <w:lvlJc w:val="left"/>
      <w:pPr>
        <w:ind w:left="5695" w:hanging="432"/>
      </w:pPr>
      <w:rPr>
        <w:lang w:val="en-US" w:eastAsia="en-US" w:bidi="en-US"/>
      </w:rPr>
    </w:lvl>
    <w:lvl w:ilvl="7" w:tplc="6A526752">
      <w:numFmt w:val="bullet"/>
      <w:lvlText w:val="•"/>
      <w:lvlJc w:val="left"/>
      <w:pPr>
        <w:ind w:left="6627" w:hanging="432"/>
      </w:pPr>
      <w:rPr>
        <w:lang w:val="en-US" w:eastAsia="en-US" w:bidi="en-US"/>
      </w:rPr>
    </w:lvl>
    <w:lvl w:ilvl="8" w:tplc="203ACF58">
      <w:numFmt w:val="bullet"/>
      <w:lvlText w:val="•"/>
      <w:lvlJc w:val="left"/>
      <w:pPr>
        <w:ind w:left="7560" w:hanging="432"/>
      </w:pPr>
      <w:rPr>
        <w:lang w:val="en-US" w:eastAsia="en-US" w:bidi="en-US"/>
      </w:rPr>
    </w:lvl>
  </w:abstractNum>
  <w:abstractNum w:abstractNumId="14"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A566497"/>
    <w:multiLevelType w:val="hybridMultilevel"/>
    <w:tmpl w:val="8A1E4BD4"/>
    <w:lvl w:ilvl="0" w:tplc="0809001B">
      <w:start w:val="1"/>
      <w:numFmt w:val="lowerRoman"/>
      <w:lvlText w:val="%1."/>
      <w:lvlJc w:val="right"/>
      <w:pPr>
        <w:ind w:left="827" w:hanging="360"/>
      </w:pPr>
    </w:lvl>
    <w:lvl w:ilvl="1" w:tplc="08090019">
      <w:start w:val="1"/>
      <w:numFmt w:val="lowerLetter"/>
      <w:lvlText w:val="%2."/>
      <w:lvlJc w:val="left"/>
      <w:pPr>
        <w:ind w:left="1547" w:hanging="360"/>
      </w:pPr>
    </w:lvl>
    <w:lvl w:ilvl="2" w:tplc="0809001B">
      <w:start w:val="1"/>
      <w:numFmt w:val="lowerRoman"/>
      <w:lvlText w:val="%3."/>
      <w:lvlJc w:val="right"/>
      <w:pPr>
        <w:ind w:left="2267" w:hanging="180"/>
      </w:pPr>
    </w:lvl>
    <w:lvl w:ilvl="3" w:tplc="0809000F">
      <w:start w:val="1"/>
      <w:numFmt w:val="decimal"/>
      <w:lvlText w:val="%4."/>
      <w:lvlJc w:val="left"/>
      <w:pPr>
        <w:ind w:left="2987" w:hanging="360"/>
      </w:pPr>
    </w:lvl>
    <w:lvl w:ilvl="4" w:tplc="08090019">
      <w:start w:val="1"/>
      <w:numFmt w:val="lowerLetter"/>
      <w:lvlText w:val="%5."/>
      <w:lvlJc w:val="left"/>
      <w:pPr>
        <w:ind w:left="3707" w:hanging="360"/>
      </w:pPr>
    </w:lvl>
    <w:lvl w:ilvl="5" w:tplc="0809001B">
      <w:start w:val="1"/>
      <w:numFmt w:val="lowerRoman"/>
      <w:lvlText w:val="%6."/>
      <w:lvlJc w:val="right"/>
      <w:pPr>
        <w:ind w:left="4427" w:hanging="180"/>
      </w:pPr>
    </w:lvl>
    <w:lvl w:ilvl="6" w:tplc="0809000F">
      <w:start w:val="1"/>
      <w:numFmt w:val="decimal"/>
      <w:lvlText w:val="%7."/>
      <w:lvlJc w:val="left"/>
      <w:pPr>
        <w:ind w:left="5147" w:hanging="360"/>
      </w:pPr>
    </w:lvl>
    <w:lvl w:ilvl="7" w:tplc="08090019">
      <w:start w:val="1"/>
      <w:numFmt w:val="lowerLetter"/>
      <w:lvlText w:val="%8."/>
      <w:lvlJc w:val="left"/>
      <w:pPr>
        <w:ind w:left="5867" w:hanging="360"/>
      </w:pPr>
    </w:lvl>
    <w:lvl w:ilvl="8" w:tplc="0809001B">
      <w:start w:val="1"/>
      <w:numFmt w:val="lowerRoman"/>
      <w:lvlText w:val="%9."/>
      <w:lvlJc w:val="right"/>
      <w:pPr>
        <w:ind w:left="6587" w:hanging="180"/>
      </w:pPr>
    </w:lvl>
  </w:abstractNum>
  <w:abstractNum w:abstractNumId="1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2E1E79A8"/>
    <w:multiLevelType w:val="multilevel"/>
    <w:tmpl w:val="DE889F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057CB8"/>
    <w:multiLevelType w:val="hybridMultilevel"/>
    <w:tmpl w:val="2698E4A4"/>
    <w:lvl w:ilvl="0" w:tplc="8FD0AD34">
      <w:start w:val="1"/>
      <w:numFmt w:val="decimal"/>
      <w:pStyle w:val="InstructionsText2"/>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20"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1"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2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42032807"/>
    <w:multiLevelType w:val="hybridMultilevel"/>
    <w:tmpl w:val="9F3423BC"/>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25" w15:restartNumberingAfterBreak="0">
    <w:nsid w:val="452C66B8"/>
    <w:multiLevelType w:val="hybridMultilevel"/>
    <w:tmpl w:val="D134736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6"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28"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0"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32" w15:restartNumberingAfterBreak="0">
    <w:nsid w:val="50227369"/>
    <w:multiLevelType w:val="hybridMultilevel"/>
    <w:tmpl w:val="88A482EC"/>
    <w:lvl w:ilvl="0" w:tplc="4A2A8390">
      <w:start w:val="1"/>
      <w:numFmt w:val="decimal"/>
      <w:pStyle w:val="numberedparagraph"/>
      <w:lvlText w:val="%1."/>
      <w:lvlJc w:val="left"/>
      <w:pPr>
        <w:tabs>
          <w:tab w:val="num" w:pos="284"/>
        </w:tabs>
        <w:ind w:left="284" w:hanging="28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2054905"/>
    <w:multiLevelType w:val="hybridMultilevel"/>
    <w:tmpl w:val="33709D28"/>
    <w:lvl w:ilvl="0" w:tplc="DBFAA04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28804A2"/>
    <w:multiLevelType w:val="hybridMultilevel"/>
    <w:tmpl w:val="E424B660"/>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15:restartNumberingAfterBreak="0">
    <w:nsid w:val="53330B4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6"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38"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400117E"/>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0"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41"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2"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7" w15:restartNumberingAfterBreak="0">
    <w:nsid w:val="6A237D39"/>
    <w:multiLevelType w:val="hybridMultilevel"/>
    <w:tmpl w:val="517C8AE6"/>
    <w:lvl w:ilvl="0" w:tplc="3A5C5BF2">
      <w:start w:val="1"/>
      <w:numFmt w:val="lowerRoman"/>
      <w:lvlText w:val="(%1)"/>
      <w:lvlJc w:val="left"/>
      <w:pPr>
        <w:ind w:left="1080" w:hanging="720"/>
      </w:pPr>
      <w:rPr>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8"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6BD76F86"/>
    <w:multiLevelType w:val="hybridMultilevel"/>
    <w:tmpl w:val="7CDEB7F8"/>
    <w:lvl w:ilvl="0" w:tplc="2510378A">
      <w:start w:val="1"/>
      <w:numFmt w:val="lowerRoman"/>
      <w:lvlText w:val="(%1)"/>
      <w:lvlJc w:val="left"/>
      <w:pPr>
        <w:ind w:left="1080" w:hanging="720"/>
      </w:pPr>
      <w:rPr>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50"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2"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54"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5"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6" w15:restartNumberingAfterBreak="0">
    <w:nsid w:val="7FE66477"/>
    <w:multiLevelType w:val="hybridMultilevel"/>
    <w:tmpl w:val="000A00F6"/>
    <w:lvl w:ilvl="0" w:tplc="D7EC01F8">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16cid:durableId="725761463">
    <w:abstractNumId w:val="0"/>
  </w:num>
  <w:num w:numId="2" w16cid:durableId="970552445">
    <w:abstractNumId w:val="12"/>
  </w:num>
  <w:num w:numId="3" w16cid:durableId="1400708803">
    <w:abstractNumId w:val="24"/>
  </w:num>
  <w:num w:numId="4" w16cid:durableId="1837459398">
    <w:abstractNumId w:val="10"/>
  </w:num>
  <w:num w:numId="5" w16cid:durableId="509099342">
    <w:abstractNumId w:val="3"/>
  </w:num>
  <w:num w:numId="6" w16cid:durableId="694623396">
    <w:abstractNumId w:val="53"/>
  </w:num>
  <w:num w:numId="7" w16cid:durableId="1525746459">
    <w:abstractNumId w:val="1"/>
  </w:num>
  <w:num w:numId="8" w16cid:durableId="1683117819">
    <w:abstractNumId w:val="38"/>
  </w:num>
  <w:num w:numId="9" w16cid:durableId="454295772">
    <w:abstractNumId w:val="52"/>
  </w:num>
  <w:num w:numId="10" w16cid:durableId="1975597212">
    <w:abstractNumId w:val="26"/>
  </w:num>
  <w:num w:numId="11" w16cid:durableId="536938429">
    <w:abstractNumId w:val="45"/>
  </w:num>
  <w:num w:numId="12" w16cid:durableId="1994020000">
    <w:abstractNumId w:val="22"/>
  </w:num>
  <w:num w:numId="13" w16cid:durableId="1287465312">
    <w:abstractNumId w:val="51"/>
  </w:num>
  <w:num w:numId="14" w16cid:durableId="479886270">
    <w:abstractNumId w:val="9"/>
  </w:num>
  <w:num w:numId="15" w16cid:durableId="400566751">
    <w:abstractNumId w:val="40"/>
  </w:num>
  <w:num w:numId="16" w16cid:durableId="1098134752">
    <w:abstractNumId w:val="21"/>
  </w:num>
  <w:num w:numId="17" w16cid:durableId="288359321">
    <w:abstractNumId w:val="31"/>
  </w:num>
  <w:num w:numId="18" w16cid:durableId="1911233015">
    <w:abstractNumId w:val="17"/>
  </w:num>
  <w:num w:numId="19" w16cid:durableId="1893155877">
    <w:abstractNumId w:val="43"/>
  </w:num>
  <w:num w:numId="20" w16cid:durableId="2088111212">
    <w:abstractNumId w:val="37"/>
  </w:num>
  <w:num w:numId="21" w16cid:durableId="683440504">
    <w:abstractNumId w:val="19"/>
  </w:num>
  <w:num w:numId="22" w16cid:durableId="1515611626">
    <w:abstractNumId w:val="30"/>
  </w:num>
  <w:num w:numId="23" w16cid:durableId="1549948508">
    <w:abstractNumId w:val="46"/>
  </w:num>
  <w:num w:numId="24" w16cid:durableId="267540377">
    <w:abstractNumId w:val="5"/>
  </w:num>
  <w:num w:numId="25" w16cid:durableId="1875342958">
    <w:abstractNumId w:val="34"/>
  </w:num>
  <w:num w:numId="26" w16cid:durableId="2028829910">
    <w:abstractNumId w:val="18"/>
  </w:num>
  <w:num w:numId="27" w16cid:durableId="32312066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102812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8705978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4006731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85228827">
    <w:abstractNumId w:val="35"/>
  </w:num>
  <w:num w:numId="32" w16cid:durableId="783109350">
    <w:abstractNumId w:val="2"/>
  </w:num>
  <w:num w:numId="33" w16cid:durableId="1779596442">
    <w:abstractNumId w:val="20"/>
  </w:num>
  <w:num w:numId="34" w16cid:durableId="820077853">
    <w:abstractNumId w:val="39"/>
  </w:num>
  <w:num w:numId="35" w16cid:durableId="1935429718">
    <w:abstractNumId w:val="11"/>
  </w:num>
  <w:num w:numId="36" w16cid:durableId="1063987486">
    <w:abstractNumId w:val="13"/>
    <w:lvlOverride w:ilvl="0">
      <w:startOverride w:val="1"/>
    </w:lvlOverride>
    <w:lvlOverride w:ilvl="1"/>
    <w:lvlOverride w:ilvl="2"/>
    <w:lvlOverride w:ilvl="3"/>
    <w:lvlOverride w:ilvl="4"/>
    <w:lvlOverride w:ilvl="5"/>
    <w:lvlOverride w:ilvl="6"/>
    <w:lvlOverride w:ilvl="7"/>
    <w:lvlOverride w:ilvl="8"/>
  </w:num>
  <w:num w:numId="37" w16cid:durableId="6677132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7794979">
    <w:abstractNumId w:val="13"/>
  </w:num>
  <w:num w:numId="39" w16cid:durableId="591358563">
    <w:abstractNumId w:val="25"/>
  </w:num>
  <w:num w:numId="40" w16cid:durableId="1876848649">
    <w:abstractNumId w:val="23"/>
  </w:num>
  <w:num w:numId="41" w16cid:durableId="2043825609">
    <w:abstractNumId w:val="32"/>
  </w:num>
  <w:num w:numId="42" w16cid:durableId="642925041">
    <w:abstractNumId w:val="33"/>
  </w:num>
  <w:num w:numId="43" w16cid:durableId="1028723582">
    <w:abstractNumId w:val="41"/>
  </w:num>
  <w:num w:numId="44" w16cid:durableId="1277980879">
    <w:abstractNumId w:val="54"/>
  </w:num>
  <w:num w:numId="45" w16cid:durableId="615063052">
    <w:abstractNumId w:val="44"/>
  </w:num>
  <w:num w:numId="46" w16cid:durableId="2133399515">
    <w:abstractNumId w:val="28"/>
  </w:num>
  <w:num w:numId="47" w16cid:durableId="1752845016">
    <w:abstractNumId w:val="42"/>
  </w:num>
  <w:num w:numId="48" w16cid:durableId="2105374589">
    <w:abstractNumId w:val="55"/>
  </w:num>
  <w:num w:numId="49" w16cid:durableId="1642080444">
    <w:abstractNumId w:val="15"/>
  </w:num>
  <w:num w:numId="50" w16cid:durableId="1966429305">
    <w:abstractNumId w:val="29"/>
  </w:num>
  <w:num w:numId="51" w16cid:durableId="105581313">
    <w:abstractNumId w:val="50"/>
  </w:num>
  <w:num w:numId="52" w16cid:durableId="1384014742">
    <w:abstractNumId w:val="48"/>
  </w:num>
  <w:num w:numId="53" w16cid:durableId="379670167">
    <w:abstractNumId w:val="27"/>
  </w:num>
  <w:num w:numId="54" w16cid:durableId="330643579">
    <w:abstractNumId w:val="14"/>
  </w:num>
  <w:num w:numId="55" w16cid:durableId="2113041288">
    <w:abstractNumId w:val="4"/>
  </w:num>
  <w:num w:numId="56" w16cid:durableId="561603822">
    <w:abstractNumId w:val="36"/>
  </w:num>
  <w:num w:numId="57" w16cid:durableId="1460760637">
    <w:abstractNumId w:val="6"/>
  </w:num>
  <w:num w:numId="58" w16cid:durableId="1499466624">
    <w:abstractNumId w:val="19"/>
  </w:num>
  <w:num w:numId="59" w16cid:durableId="1937980521">
    <w:abstractNumId w:val="8"/>
  </w:num>
  <w:num w:numId="60" w16cid:durableId="680665167">
    <w:abstractNumId w:val="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proofState w:spelling="clean" w:grammar="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2050" fill="f" fillcolor="white" stroke="f">
      <v:fill color="white" on="f"/>
      <v:stroke on="f"/>
      <v:textbox inset="0,0,0,0"/>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4754B"/>
    <w:rsid w:val="000006B9"/>
    <w:rsid w:val="000008C5"/>
    <w:rsid w:val="00000F21"/>
    <w:rsid w:val="00001954"/>
    <w:rsid w:val="00002206"/>
    <w:rsid w:val="00002D30"/>
    <w:rsid w:val="00003BBA"/>
    <w:rsid w:val="0000611B"/>
    <w:rsid w:val="00006CEB"/>
    <w:rsid w:val="0001009B"/>
    <w:rsid w:val="00010563"/>
    <w:rsid w:val="00011618"/>
    <w:rsid w:val="0001167D"/>
    <w:rsid w:val="00011688"/>
    <w:rsid w:val="00011BC9"/>
    <w:rsid w:val="00011E14"/>
    <w:rsid w:val="00012574"/>
    <w:rsid w:val="00012719"/>
    <w:rsid w:val="0001312C"/>
    <w:rsid w:val="00014E10"/>
    <w:rsid w:val="0001525B"/>
    <w:rsid w:val="00015C89"/>
    <w:rsid w:val="000163CB"/>
    <w:rsid w:val="000164A2"/>
    <w:rsid w:val="00016AFB"/>
    <w:rsid w:val="00017C5E"/>
    <w:rsid w:val="00020486"/>
    <w:rsid w:val="00022D49"/>
    <w:rsid w:val="000236FF"/>
    <w:rsid w:val="00024D91"/>
    <w:rsid w:val="00026A1A"/>
    <w:rsid w:val="00030988"/>
    <w:rsid w:val="00030A95"/>
    <w:rsid w:val="00030CFF"/>
    <w:rsid w:val="00031FAA"/>
    <w:rsid w:val="00032D3D"/>
    <w:rsid w:val="00032DC0"/>
    <w:rsid w:val="0003417D"/>
    <w:rsid w:val="0003735D"/>
    <w:rsid w:val="00037947"/>
    <w:rsid w:val="00043D0E"/>
    <w:rsid w:val="000448DD"/>
    <w:rsid w:val="00046DCF"/>
    <w:rsid w:val="000472E7"/>
    <w:rsid w:val="0004746E"/>
    <w:rsid w:val="00047A5F"/>
    <w:rsid w:val="000515A8"/>
    <w:rsid w:val="00053DFD"/>
    <w:rsid w:val="000544EF"/>
    <w:rsid w:val="000567CE"/>
    <w:rsid w:val="00057794"/>
    <w:rsid w:val="00057ECF"/>
    <w:rsid w:val="00057FDE"/>
    <w:rsid w:val="00060AEF"/>
    <w:rsid w:val="00060D86"/>
    <w:rsid w:val="000612D4"/>
    <w:rsid w:val="00061569"/>
    <w:rsid w:val="00061696"/>
    <w:rsid w:val="00061FBE"/>
    <w:rsid w:val="0006345F"/>
    <w:rsid w:val="00064698"/>
    <w:rsid w:val="00070797"/>
    <w:rsid w:val="000708BE"/>
    <w:rsid w:val="0007247B"/>
    <w:rsid w:val="00072F44"/>
    <w:rsid w:val="0007350B"/>
    <w:rsid w:val="00075B1D"/>
    <w:rsid w:val="0007729E"/>
    <w:rsid w:val="00080B5B"/>
    <w:rsid w:val="00081D1E"/>
    <w:rsid w:val="00082D23"/>
    <w:rsid w:val="00082FFF"/>
    <w:rsid w:val="00083934"/>
    <w:rsid w:val="0008603A"/>
    <w:rsid w:val="00086398"/>
    <w:rsid w:val="00086418"/>
    <w:rsid w:val="000864F6"/>
    <w:rsid w:val="00086A8A"/>
    <w:rsid w:val="00087C56"/>
    <w:rsid w:val="00090275"/>
    <w:rsid w:val="00090312"/>
    <w:rsid w:val="00092325"/>
    <w:rsid w:val="00092348"/>
    <w:rsid w:val="00092BB7"/>
    <w:rsid w:val="000956D3"/>
    <w:rsid w:val="0009615C"/>
    <w:rsid w:val="000965C1"/>
    <w:rsid w:val="000971AD"/>
    <w:rsid w:val="000A14BE"/>
    <w:rsid w:val="000A1DC4"/>
    <w:rsid w:val="000A2489"/>
    <w:rsid w:val="000A32B5"/>
    <w:rsid w:val="000A359B"/>
    <w:rsid w:val="000A4658"/>
    <w:rsid w:val="000A486B"/>
    <w:rsid w:val="000A599E"/>
    <w:rsid w:val="000A5B0A"/>
    <w:rsid w:val="000A6437"/>
    <w:rsid w:val="000A6584"/>
    <w:rsid w:val="000A715B"/>
    <w:rsid w:val="000A7286"/>
    <w:rsid w:val="000A7330"/>
    <w:rsid w:val="000A78A1"/>
    <w:rsid w:val="000A7B45"/>
    <w:rsid w:val="000B0D11"/>
    <w:rsid w:val="000B108D"/>
    <w:rsid w:val="000B1619"/>
    <w:rsid w:val="000B2DD8"/>
    <w:rsid w:val="000B3EAC"/>
    <w:rsid w:val="000B46C7"/>
    <w:rsid w:val="000B4762"/>
    <w:rsid w:val="000B4F70"/>
    <w:rsid w:val="000B5580"/>
    <w:rsid w:val="000B5761"/>
    <w:rsid w:val="000B659F"/>
    <w:rsid w:val="000B66BC"/>
    <w:rsid w:val="000B74A7"/>
    <w:rsid w:val="000B7D01"/>
    <w:rsid w:val="000C01E8"/>
    <w:rsid w:val="000C04BB"/>
    <w:rsid w:val="000C0B89"/>
    <w:rsid w:val="000C0D0F"/>
    <w:rsid w:val="000C216B"/>
    <w:rsid w:val="000C3F11"/>
    <w:rsid w:val="000C488E"/>
    <w:rsid w:val="000C5068"/>
    <w:rsid w:val="000C6AAC"/>
    <w:rsid w:val="000C6F73"/>
    <w:rsid w:val="000D0106"/>
    <w:rsid w:val="000D1636"/>
    <w:rsid w:val="000D1827"/>
    <w:rsid w:val="000D1E6C"/>
    <w:rsid w:val="000D3973"/>
    <w:rsid w:val="000D44A0"/>
    <w:rsid w:val="000D5576"/>
    <w:rsid w:val="000D5823"/>
    <w:rsid w:val="000D5FF7"/>
    <w:rsid w:val="000D6138"/>
    <w:rsid w:val="000D64CA"/>
    <w:rsid w:val="000D6823"/>
    <w:rsid w:val="000D6D58"/>
    <w:rsid w:val="000D77FB"/>
    <w:rsid w:val="000E083F"/>
    <w:rsid w:val="000E2D94"/>
    <w:rsid w:val="000E4713"/>
    <w:rsid w:val="000E4A3F"/>
    <w:rsid w:val="000E4B8D"/>
    <w:rsid w:val="000E5AAE"/>
    <w:rsid w:val="000E62A7"/>
    <w:rsid w:val="000E6617"/>
    <w:rsid w:val="000E6BF5"/>
    <w:rsid w:val="000E715A"/>
    <w:rsid w:val="000F0E59"/>
    <w:rsid w:val="000F1F74"/>
    <w:rsid w:val="000F26EF"/>
    <w:rsid w:val="000F4992"/>
    <w:rsid w:val="000F4A4A"/>
    <w:rsid w:val="000F4B74"/>
    <w:rsid w:val="000F5958"/>
    <w:rsid w:val="000F5F49"/>
    <w:rsid w:val="000F74E8"/>
    <w:rsid w:val="000F7613"/>
    <w:rsid w:val="00100493"/>
    <w:rsid w:val="001005A7"/>
    <w:rsid w:val="00103902"/>
    <w:rsid w:val="00103AE3"/>
    <w:rsid w:val="00103B23"/>
    <w:rsid w:val="00106F88"/>
    <w:rsid w:val="00110007"/>
    <w:rsid w:val="00110BC7"/>
    <w:rsid w:val="0011104F"/>
    <w:rsid w:val="00111F80"/>
    <w:rsid w:val="001120BB"/>
    <w:rsid w:val="001133CE"/>
    <w:rsid w:val="00114345"/>
    <w:rsid w:val="0011649C"/>
    <w:rsid w:val="00117248"/>
    <w:rsid w:val="00117791"/>
    <w:rsid w:val="00120E99"/>
    <w:rsid w:val="001227AD"/>
    <w:rsid w:val="00123F45"/>
    <w:rsid w:val="00124715"/>
    <w:rsid w:val="00125BAF"/>
    <w:rsid w:val="00125CA1"/>
    <w:rsid w:val="00127AC7"/>
    <w:rsid w:val="0013029D"/>
    <w:rsid w:val="001305CF"/>
    <w:rsid w:val="00130DD7"/>
    <w:rsid w:val="00130EEF"/>
    <w:rsid w:val="00131057"/>
    <w:rsid w:val="00131C70"/>
    <w:rsid w:val="00132069"/>
    <w:rsid w:val="00132855"/>
    <w:rsid w:val="00132A0E"/>
    <w:rsid w:val="00132FD2"/>
    <w:rsid w:val="00133533"/>
    <w:rsid w:val="00134551"/>
    <w:rsid w:val="00136A9C"/>
    <w:rsid w:val="00136C36"/>
    <w:rsid w:val="00136DF0"/>
    <w:rsid w:val="001376F7"/>
    <w:rsid w:val="0014006A"/>
    <w:rsid w:val="001407E1"/>
    <w:rsid w:val="00141CCF"/>
    <w:rsid w:val="00141FF2"/>
    <w:rsid w:val="0014246F"/>
    <w:rsid w:val="00142881"/>
    <w:rsid w:val="00142ED4"/>
    <w:rsid w:val="00143338"/>
    <w:rsid w:val="00143A3F"/>
    <w:rsid w:val="00143C6A"/>
    <w:rsid w:val="0014449A"/>
    <w:rsid w:val="00145BAD"/>
    <w:rsid w:val="0014694D"/>
    <w:rsid w:val="00146CA4"/>
    <w:rsid w:val="001475A2"/>
    <w:rsid w:val="00151462"/>
    <w:rsid w:val="00151D33"/>
    <w:rsid w:val="0015208B"/>
    <w:rsid w:val="001526B8"/>
    <w:rsid w:val="0015292D"/>
    <w:rsid w:val="00153F16"/>
    <w:rsid w:val="00154FCE"/>
    <w:rsid w:val="001572C1"/>
    <w:rsid w:val="0016100A"/>
    <w:rsid w:val="001612FD"/>
    <w:rsid w:val="001622F5"/>
    <w:rsid w:val="00162ABC"/>
    <w:rsid w:val="00164A3E"/>
    <w:rsid w:val="00164A9A"/>
    <w:rsid w:val="0016680C"/>
    <w:rsid w:val="00166A6F"/>
    <w:rsid w:val="00166C41"/>
    <w:rsid w:val="00167041"/>
    <w:rsid w:val="00167C21"/>
    <w:rsid w:val="00171C3F"/>
    <w:rsid w:val="00171C76"/>
    <w:rsid w:val="001720F3"/>
    <w:rsid w:val="001721BF"/>
    <w:rsid w:val="0017297A"/>
    <w:rsid w:val="00173FAA"/>
    <w:rsid w:val="00174252"/>
    <w:rsid w:val="001753D7"/>
    <w:rsid w:val="0017558C"/>
    <w:rsid w:val="00175A51"/>
    <w:rsid w:val="00180521"/>
    <w:rsid w:val="001807E9"/>
    <w:rsid w:val="001807ED"/>
    <w:rsid w:val="00180FB9"/>
    <w:rsid w:val="00181A8D"/>
    <w:rsid w:val="001849BA"/>
    <w:rsid w:val="00184D76"/>
    <w:rsid w:val="00185539"/>
    <w:rsid w:val="001857D7"/>
    <w:rsid w:val="001865CF"/>
    <w:rsid w:val="00186774"/>
    <w:rsid w:val="0018771D"/>
    <w:rsid w:val="00187E4B"/>
    <w:rsid w:val="00187ECA"/>
    <w:rsid w:val="001905AF"/>
    <w:rsid w:val="00191467"/>
    <w:rsid w:val="001914C6"/>
    <w:rsid w:val="00193425"/>
    <w:rsid w:val="001934AC"/>
    <w:rsid w:val="00193A99"/>
    <w:rsid w:val="001943A2"/>
    <w:rsid w:val="00195426"/>
    <w:rsid w:val="00197F19"/>
    <w:rsid w:val="001A012D"/>
    <w:rsid w:val="001A2ABA"/>
    <w:rsid w:val="001A46E4"/>
    <w:rsid w:val="001A7665"/>
    <w:rsid w:val="001A78C1"/>
    <w:rsid w:val="001B1458"/>
    <w:rsid w:val="001B2359"/>
    <w:rsid w:val="001B2410"/>
    <w:rsid w:val="001B2D84"/>
    <w:rsid w:val="001B34D0"/>
    <w:rsid w:val="001B3BF0"/>
    <w:rsid w:val="001B7535"/>
    <w:rsid w:val="001C0756"/>
    <w:rsid w:val="001C123F"/>
    <w:rsid w:val="001C2254"/>
    <w:rsid w:val="001C2537"/>
    <w:rsid w:val="001C27BF"/>
    <w:rsid w:val="001C31A7"/>
    <w:rsid w:val="001C50A4"/>
    <w:rsid w:val="001C5613"/>
    <w:rsid w:val="001C597D"/>
    <w:rsid w:val="001C791E"/>
    <w:rsid w:val="001D0DCE"/>
    <w:rsid w:val="001D1678"/>
    <w:rsid w:val="001D1AE1"/>
    <w:rsid w:val="001D36C8"/>
    <w:rsid w:val="001D386D"/>
    <w:rsid w:val="001D39F5"/>
    <w:rsid w:val="001D4A4A"/>
    <w:rsid w:val="001D4EC2"/>
    <w:rsid w:val="001D5CFB"/>
    <w:rsid w:val="001D629F"/>
    <w:rsid w:val="001D6F2F"/>
    <w:rsid w:val="001D7541"/>
    <w:rsid w:val="001D7778"/>
    <w:rsid w:val="001E1518"/>
    <w:rsid w:val="001E19C2"/>
    <w:rsid w:val="001E1E08"/>
    <w:rsid w:val="001E41BF"/>
    <w:rsid w:val="001E4710"/>
    <w:rsid w:val="001E4BA5"/>
    <w:rsid w:val="001E5373"/>
    <w:rsid w:val="001E58D0"/>
    <w:rsid w:val="001E5A9A"/>
    <w:rsid w:val="001E5F9C"/>
    <w:rsid w:val="001E773E"/>
    <w:rsid w:val="001E7ADE"/>
    <w:rsid w:val="001F0676"/>
    <w:rsid w:val="001F0ECD"/>
    <w:rsid w:val="001F28C3"/>
    <w:rsid w:val="001F28E7"/>
    <w:rsid w:val="001F3810"/>
    <w:rsid w:val="001F3E84"/>
    <w:rsid w:val="001F4281"/>
    <w:rsid w:val="001F5E87"/>
    <w:rsid w:val="001F6203"/>
    <w:rsid w:val="001F7C68"/>
    <w:rsid w:val="001F7D7C"/>
    <w:rsid w:val="00201339"/>
    <w:rsid w:val="0020137F"/>
    <w:rsid w:val="00201643"/>
    <w:rsid w:val="00201AC3"/>
    <w:rsid w:val="002023F9"/>
    <w:rsid w:val="0020297E"/>
    <w:rsid w:val="002042A7"/>
    <w:rsid w:val="00204A81"/>
    <w:rsid w:val="00205B21"/>
    <w:rsid w:val="00206A85"/>
    <w:rsid w:val="00207482"/>
    <w:rsid w:val="00207901"/>
    <w:rsid w:val="002132E8"/>
    <w:rsid w:val="002143BB"/>
    <w:rsid w:val="00214915"/>
    <w:rsid w:val="002149E4"/>
    <w:rsid w:val="00214D62"/>
    <w:rsid w:val="002161E2"/>
    <w:rsid w:val="002162B5"/>
    <w:rsid w:val="002172CC"/>
    <w:rsid w:val="00217B44"/>
    <w:rsid w:val="00217D1F"/>
    <w:rsid w:val="00220AA0"/>
    <w:rsid w:val="00222753"/>
    <w:rsid w:val="0022283C"/>
    <w:rsid w:val="00222CA0"/>
    <w:rsid w:val="0022597B"/>
    <w:rsid w:val="002262E5"/>
    <w:rsid w:val="00227BD1"/>
    <w:rsid w:val="002304E0"/>
    <w:rsid w:val="00231EBE"/>
    <w:rsid w:val="002323A0"/>
    <w:rsid w:val="00233A74"/>
    <w:rsid w:val="00235FBA"/>
    <w:rsid w:val="00237588"/>
    <w:rsid w:val="0023791C"/>
    <w:rsid w:val="00237DD1"/>
    <w:rsid w:val="0024092A"/>
    <w:rsid w:val="00240BF0"/>
    <w:rsid w:val="0024218B"/>
    <w:rsid w:val="00242493"/>
    <w:rsid w:val="00242D31"/>
    <w:rsid w:val="00243937"/>
    <w:rsid w:val="0024434F"/>
    <w:rsid w:val="00244966"/>
    <w:rsid w:val="0024511B"/>
    <w:rsid w:val="00245B16"/>
    <w:rsid w:val="00245CB1"/>
    <w:rsid w:val="00245EE3"/>
    <w:rsid w:val="002461BA"/>
    <w:rsid w:val="00246A51"/>
    <w:rsid w:val="00246CF2"/>
    <w:rsid w:val="00247954"/>
    <w:rsid w:val="002509B1"/>
    <w:rsid w:val="00252527"/>
    <w:rsid w:val="00252F75"/>
    <w:rsid w:val="00253D80"/>
    <w:rsid w:val="0025493F"/>
    <w:rsid w:val="00254983"/>
    <w:rsid w:val="00255202"/>
    <w:rsid w:val="0025615F"/>
    <w:rsid w:val="002573FC"/>
    <w:rsid w:val="002576E1"/>
    <w:rsid w:val="00260D4F"/>
    <w:rsid w:val="00261E81"/>
    <w:rsid w:val="00261FE6"/>
    <w:rsid w:val="0026270F"/>
    <w:rsid w:val="00262895"/>
    <w:rsid w:val="0026336E"/>
    <w:rsid w:val="00264409"/>
    <w:rsid w:val="002662F0"/>
    <w:rsid w:val="002706B3"/>
    <w:rsid w:val="00270DBA"/>
    <w:rsid w:val="002710BE"/>
    <w:rsid w:val="00272017"/>
    <w:rsid w:val="00272210"/>
    <w:rsid w:val="00272715"/>
    <w:rsid w:val="00272BDB"/>
    <w:rsid w:val="0027305C"/>
    <w:rsid w:val="0027308B"/>
    <w:rsid w:val="002736E3"/>
    <w:rsid w:val="00275254"/>
    <w:rsid w:val="00275423"/>
    <w:rsid w:val="00275435"/>
    <w:rsid w:val="0027548E"/>
    <w:rsid w:val="00276087"/>
    <w:rsid w:val="002769F1"/>
    <w:rsid w:val="00276DB0"/>
    <w:rsid w:val="00280AF8"/>
    <w:rsid w:val="00281660"/>
    <w:rsid w:val="0028217E"/>
    <w:rsid w:val="00286279"/>
    <w:rsid w:val="00287297"/>
    <w:rsid w:val="00287E34"/>
    <w:rsid w:val="002909B6"/>
    <w:rsid w:val="00291B93"/>
    <w:rsid w:val="002925F0"/>
    <w:rsid w:val="00292FC3"/>
    <w:rsid w:val="0029415C"/>
    <w:rsid w:val="002946C4"/>
    <w:rsid w:val="00294990"/>
    <w:rsid w:val="00295D7B"/>
    <w:rsid w:val="00297715"/>
    <w:rsid w:val="00297BC1"/>
    <w:rsid w:val="002A07A2"/>
    <w:rsid w:val="002A2841"/>
    <w:rsid w:val="002A28A2"/>
    <w:rsid w:val="002A29B1"/>
    <w:rsid w:val="002A3521"/>
    <w:rsid w:val="002A3F7D"/>
    <w:rsid w:val="002A536D"/>
    <w:rsid w:val="002A54FF"/>
    <w:rsid w:val="002A6712"/>
    <w:rsid w:val="002A6ADE"/>
    <w:rsid w:val="002A6B55"/>
    <w:rsid w:val="002B009A"/>
    <w:rsid w:val="002B071B"/>
    <w:rsid w:val="002B0879"/>
    <w:rsid w:val="002B0936"/>
    <w:rsid w:val="002B0A4B"/>
    <w:rsid w:val="002B0AAC"/>
    <w:rsid w:val="002B2DA6"/>
    <w:rsid w:val="002B34A4"/>
    <w:rsid w:val="002B3BEC"/>
    <w:rsid w:val="002B3FF4"/>
    <w:rsid w:val="002B70BC"/>
    <w:rsid w:val="002B7189"/>
    <w:rsid w:val="002B74C8"/>
    <w:rsid w:val="002C07EA"/>
    <w:rsid w:val="002C169A"/>
    <w:rsid w:val="002C1F24"/>
    <w:rsid w:val="002C4B54"/>
    <w:rsid w:val="002C5729"/>
    <w:rsid w:val="002C5782"/>
    <w:rsid w:val="002C5EF2"/>
    <w:rsid w:val="002C6238"/>
    <w:rsid w:val="002C6479"/>
    <w:rsid w:val="002C6D46"/>
    <w:rsid w:val="002C72C2"/>
    <w:rsid w:val="002D0276"/>
    <w:rsid w:val="002D1CE8"/>
    <w:rsid w:val="002D2944"/>
    <w:rsid w:val="002D3764"/>
    <w:rsid w:val="002D378E"/>
    <w:rsid w:val="002D7E94"/>
    <w:rsid w:val="002E044A"/>
    <w:rsid w:val="002E1083"/>
    <w:rsid w:val="002E3728"/>
    <w:rsid w:val="002E3ED1"/>
    <w:rsid w:val="002E3FD6"/>
    <w:rsid w:val="002E6BDF"/>
    <w:rsid w:val="002E6BEF"/>
    <w:rsid w:val="002E721E"/>
    <w:rsid w:val="002F2179"/>
    <w:rsid w:val="002F3BA4"/>
    <w:rsid w:val="00300AA7"/>
    <w:rsid w:val="00300E22"/>
    <w:rsid w:val="0030136E"/>
    <w:rsid w:val="00301469"/>
    <w:rsid w:val="00301BEE"/>
    <w:rsid w:val="00302398"/>
    <w:rsid w:val="003027FE"/>
    <w:rsid w:val="00302FB6"/>
    <w:rsid w:val="003032DF"/>
    <w:rsid w:val="0030524E"/>
    <w:rsid w:val="0030642D"/>
    <w:rsid w:val="00307448"/>
    <w:rsid w:val="00307B4B"/>
    <w:rsid w:val="00310A8D"/>
    <w:rsid w:val="003113EE"/>
    <w:rsid w:val="00314129"/>
    <w:rsid w:val="00314716"/>
    <w:rsid w:val="00315160"/>
    <w:rsid w:val="00316050"/>
    <w:rsid w:val="00316309"/>
    <w:rsid w:val="003164FD"/>
    <w:rsid w:val="003167BD"/>
    <w:rsid w:val="00316905"/>
    <w:rsid w:val="00317861"/>
    <w:rsid w:val="00317BCB"/>
    <w:rsid w:val="00321B6C"/>
    <w:rsid w:val="00321D7D"/>
    <w:rsid w:val="00322183"/>
    <w:rsid w:val="003231FC"/>
    <w:rsid w:val="0032369D"/>
    <w:rsid w:val="003236C2"/>
    <w:rsid w:val="00324840"/>
    <w:rsid w:val="00324993"/>
    <w:rsid w:val="003260D7"/>
    <w:rsid w:val="003264FC"/>
    <w:rsid w:val="0032786A"/>
    <w:rsid w:val="0032789D"/>
    <w:rsid w:val="003310AE"/>
    <w:rsid w:val="00332838"/>
    <w:rsid w:val="003335A9"/>
    <w:rsid w:val="00334535"/>
    <w:rsid w:val="0033504B"/>
    <w:rsid w:val="003353A9"/>
    <w:rsid w:val="003355CE"/>
    <w:rsid w:val="003358B6"/>
    <w:rsid w:val="0033601F"/>
    <w:rsid w:val="00336123"/>
    <w:rsid w:val="0033642B"/>
    <w:rsid w:val="003371AF"/>
    <w:rsid w:val="003405E7"/>
    <w:rsid w:val="00340711"/>
    <w:rsid w:val="003411F8"/>
    <w:rsid w:val="00341560"/>
    <w:rsid w:val="003418AD"/>
    <w:rsid w:val="0034348F"/>
    <w:rsid w:val="00344611"/>
    <w:rsid w:val="00345499"/>
    <w:rsid w:val="003475AF"/>
    <w:rsid w:val="00350419"/>
    <w:rsid w:val="00350D74"/>
    <w:rsid w:val="00352D4B"/>
    <w:rsid w:val="00354188"/>
    <w:rsid w:val="003546F2"/>
    <w:rsid w:val="0036007F"/>
    <w:rsid w:val="00360553"/>
    <w:rsid w:val="00360A3D"/>
    <w:rsid w:val="00361101"/>
    <w:rsid w:val="00363381"/>
    <w:rsid w:val="00364DD5"/>
    <w:rsid w:val="0037059A"/>
    <w:rsid w:val="003706AB"/>
    <w:rsid w:val="00371745"/>
    <w:rsid w:val="003718C7"/>
    <w:rsid w:val="0037239B"/>
    <w:rsid w:val="003723CD"/>
    <w:rsid w:val="003729D7"/>
    <w:rsid w:val="003732F8"/>
    <w:rsid w:val="00373CFA"/>
    <w:rsid w:val="003758DF"/>
    <w:rsid w:val="00376911"/>
    <w:rsid w:val="0037735D"/>
    <w:rsid w:val="00381146"/>
    <w:rsid w:val="00381582"/>
    <w:rsid w:val="00384B0B"/>
    <w:rsid w:val="00384D30"/>
    <w:rsid w:val="00385061"/>
    <w:rsid w:val="003869D4"/>
    <w:rsid w:val="00386CDA"/>
    <w:rsid w:val="00387DC5"/>
    <w:rsid w:val="00390B64"/>
    <w:rsid w:val="00390B6B"/>
    <w:rsid w:val="00390B7F"/>
    <w:rsid w:val="00391EF9"/>
    <w:rsid w:val="00392036"/>
    <w:rsid w:val="00392B44"/>
    <w:rsid w:val="003937EE"/>
    <w:rsid w:val="00393D7A"/>
    <w:rsid w:val="00394D11"/>
    <w:rsid w:val="00395FEB"/>
    <w:rsid w:val="0039655E"/>
    <w:rsid w:val="00397188"/>
    <w:rsid w:val="00397B00"/>
    <w:rsid w:val="003A13D1"/>
    <w:rsid w:val="003A35DF"/>
    <w:rsid w:val="003A3804"/>
    <w:rsid w:val="003A3F9E"/>
    <w:rsid w:val="003A5995"/>
    <w:rsid w:val="003A5B2A"/>
    <w:rsid w:val="003A5EB5"/>
    <w:rsid w:val="003A6DAC"/>
    <w:rsid w:val="003B054D"/>
    <w:rsid w:val="003B0870"/>
    <w:rsid w:val="003B08DC"/>
    <w:rsid w:val="003B0909"/>
    <w:rsid w:val="003B09C0"/>
    <w:rsid w:val="003B1279"/>
    <w:rsid w:val="003B1611"/>
    <w:rsid w:val="003B23B9"/>
    <w:rsid w:val="003B2DDA"/>
    <w:rsid w:val="003B2E88"/>
    <w:rsid w:val="003B3015"/>
    <w:rsid w:val="003B3824"/>
    <w:rsid w:val="003B4192"/>
    <w:rsid w:val="003B472A"/>
    <w:rsid w:val="003B51A8"/>
    <w:rsid w:val="003B555D"/>
    <w:rsid w:val="003B5CD9"/>
    <w:rsid w:val="003B61F5"/>
    <w:rsid w:val="003B79B4"/>
    <w:rsid w:val="003B7BEC"/>
    <w:rsid w:val="003B7E48"/>
    <w:rsid w:val="003C0524"/>
    <w:rsid w:val="003C076E"/>
    <w:rsid w:val="003C0937"/>
    <w:rsid w:val="003C2251"/>
    <w:rsid w:val="003C4CC8"/>
    <w:rsid w:val="003C544C"/>
    <w:rsid w:val="003C6064"/>
    <w:rsid w:val="003C66FA"/>
    <w:rsid w:val="003C6829"/>
    <w:rsid w:val="003C7123"/>
    <w:rsid w:val="003C74D9"/>
    <w:rsid w:val="003C7E9B"/>
    <w:rsid w:val="003D04AD"/>
    <w:rsid w:val="003D0536"/>
    <w:rsid w:val="003D118F"/>
    <w:rsid w:val="003D12C1"/>
    <w:rsid w:val="003D2141"/>
    <w:rsid w:val="003D433B"/>
    <w:rsid w:val="003D54ED"/>
    <w:rsid w:val="003D7A5E"/>
    <w:rsid w:val="003E12AE"/>
    <w:rsid w:val="003E1D33"/>
    <w:rsid w:val="003E1E0E"/>
    <w:rsid w:val="003E23B1"/>
    <w:rsid w:val="003E3C45"/>
    <w:rsid w:val="003E4DEE"/>
    <w:rsid w:val="003E4F6D"/>
    <w:rsid w:val="003E56A4"/>
    <w:rsid w:val="003E624B"/>
    <w:rsid w:val="003E62FE"/>
    <w:rsid w:val="003F1BF6"/>
    <w:rsid w:val="003F37CB"/>
    <w:rsid w:val="003F51BD"/>
    <w:rsid w:val="003F598C"/>
    <w:rsid w:val="003F5D42"/>
    <w:rsid w:val="003F6C06"/>
    <w:rsid w:val="003F7733"/>
    <w:rsid w:val="003F7811"/>
    <w:rsid w:val="00400766"/>
    <w:rsid w:val="0040096C"/>
    <w:rsid w:val="0040148D"/>
    <w:rsid w:val="0040194F"/>
    <w:rsid w:val="00401A21"/>
    <w:rsid w:val="00403798"/>
    <w:rsid w:val="00404AA3"/>
    <w:rsid w:val="004050A1"/>
    <w:rsid w:val="004052F0"/>
    <w:rsid w:val="004055B3"/>
    <w:rsid w:val="00406605"/>
    <w:rsid w:val="00406DB7"/>
    <w:rsid w:val="00407426"/>
    <w:rsid w:val="00407A0F"/>
    <w:rsid w:val="00410E47"/>
    <w:rsid w:val="004127BF"/>
    <w:rsid w:val="00412A18"/>
    <w:rsid w:val="00412D6E"/>
    <w:rsid w:val="00413A7F"/>
    <w:rsid w:val="004148B2"/>
    <w:rsid w:val="00414EB6"/>
    <w:rsid w:val="00415D69"/>
    <w:rsid w:val="00416245"/>
    <w:rsid w:val="0041676D"/>
    <w:rsid w:val="00416B4E"/>
    <w:rsid w:val="00417210"/>
    <w:rsid w:val="004178C8"/>
    <w:rsid w:val="00421540"/>
    <w:rsid w:val="004220C8"/>
    <w:rsid w:val="004229C1"/>
    <w:rsid w:val="00422C76"/>
    <w:rsid w:val="00423769"/>
    <w:rsid w:val="0042419F"/>
    <w:rsid w:val="004242B8"/>
    <w:rsid w:val="00424A0A"/>
    <w:rsid w:val="00424BB8"/>
    <w:rsid w:val="00424F61"/>
    <w:rsid w:val="004250C0"/>
    <w:rsid w:val="00426A00"/>
    <w:rsid w:val="00430CAC"/>
    <w:rsid w:val="004330CD"/>
    <w:rsid w:val="00433529"/>
    <w:rsid w:val="00433E1A"/>
    <w:rsid w:val="00434439"/>
    <w:rsid w:val="00436233"/>
    <w:rsid w:val="004379F7"/>
    <w:rsid w:val="00437E78"/>
    <w:rsid w:val="00440847"/>
    <w:rsid w:val="004446C2"/>
    <w:rsid w:val="004466D5"/>
    <w:rsid w:val="0044777F"/>
    <w:rsid w:val="00447EB1"/>
    <w:rsid w:val="00451BA1"/>
    <w:rsid w:val="00452A27"/>
    <w:rsid w:val="0045378E"/>
    <w:rsid w:val="00453BD6"/>
    <w:rsid w:val="0045405A"/>
    <w:rsid w:val="0045596E"/>
    <w:rsid w:val="00455A2F"/>
    <w:rsid w:val="00456832"/>
    <w:rsid w:val="004573B6"/>
    <w:rsid w:val="00460502"/>
    <w:rsid w:val="004612B9"/>
    <w:rsid w:val="004617AF"/>
    <w:rsid w:val="004618EC"/>
    <w:rsid w:val="00462168"/>
    <w:rsid w:val="0046231D"/>
    <w:rsid w:val="00462408"/>
    <w:rsid w:val="00463240"/>
    <w:rsid w:val="0046362B"/>
    <w:rsid w:val="004645D1"/>
    <w:rsid w:val="00465521"/>
    <w:rsid w:val="00467C7D"/>
    <w:rsid w:val="00467F98"/>
    <w:rsid w:val="00470082"/>
    <w:rsid w:val="00470C9E"/>
    <w:rsid w:val="00471639"/>
    <w:rsid w:val="004719F6"/>
    <w:rsid w:val="00472209"/>
    <w:rsid w:val="00472EC7"/>
    <w:rsid w:val="0047300F"/>
    <w:rsid w:val="00473173"/>
    <w:rsid w:val="00474B43"/>
    <w:rsid w:val="00476394"/>
    <w:rsid w:val="00476B94"/>
    <w:rsid w:val="00477D43"/>
    <w:rsid w:val="004804A2"/>
    <w:rsid w:val="00481854"/>
    <w:rsid w:val="004818ED"/>
    <w:rsid w:val="00482670"/>
    <w:rsid w:val="00483334"/>
    <w:rsid w:val="004835BD"/>
    <w:rsid w:val="00484555"/>
    <w:rsid w:val="0048526F"/>
    <w:rsid w:val="00485706"/>
    <w:rsid w:val="00486D4C"/>
    <w:rsid w:val="0049025A"/>
    <w:rsid w:val="00491D9A"/>
    <w:rsid w:val="00491F2C"/>
    <w:rsid w:val="00492435"/>
    <w:rsid w:val="004924B2"/>
    <w:rsid w:val="0049459B"/>
    <w:rsid w:val="00494A67"/>
    <w:rsid w:val="0049578C"/>
    <w:rsid w:val="004968DF"/>
    <w:rsid w:val="00496A87"/>
    <w:rsid w:val="004A107B"/>
    <w:rsid w:val="004A15F0"/>
    <w:rsid w:val="004A18A4"/>
    <w:rsid w:val="004A1A27"/>
    <w:rsid w:val="004A296A"/>
    <w:rsid w:val="004A3009"/>
    <w:rsid w:val="004A347E"/>
    <w:rsid w:val="004A4633"/>
    <w:rsid w:val="004A4C19"/>
    <w:rsid w:val="004A4C67"/>
    <w:rsid w:val="004A5220"/>
    <w:rsid w:val="004A61B4"/>
    <w:rsid w:val="004A623C"/>
    <w:rsid w:val="004B064A"/>
    <w:rsid w:val="004B1181"/>
    <w:rsid w:val="004B1ADF"/>
    <w:rsid w:val="004B1D31"/>
    <w:rsid w:val="004B331D"/>
    <w:rsid w:val="004B44F1"/>
    <w:rsid w:val="004B5877"/>
    <w:rsid w:val="004B653A"/>
    <w:rsid w:val="004B6D3B"/>
    <w:rsid w:val="004B7616"/>
    <w:rsid w:val="004C0459"/>
    <w:rsid w:val="004C2916"/>
    <w:rsid w:val="004C2CFB"/>
    <w:rsid w:val="004C3157"/>
    <w:rsid w:val="004C3560"/>
    <w:rsid w:val="004C531C"/>
    <w:rsid w:val="004C56D9"/>
    <w:rsid w:val="004C587B"/>
    <w:rsid w:val="004C6361"/>
    <w:rsid w:val="004D0801"/>
    <w:rsid w:val="004D12DC"/>
    <w:rsid w:val="004D14B5"/>
    <w:rsid w:val="004D223F"/>
    <w:rsid w:val="004D2325"/>
    <w:rsid w:val="004D36F1"/>
    <w:rsid w:val="004D3E1E"/>
    <w:rsid w:val="004D47F0"/>
    <w:rsid w:val="004D53AC"/>
    <w:rsid w:val="004D54B0"/>
    <w:rsid w:val="004D62D4"/>
    <w:rsid w:val="004D70D0"/>
    <w:rsid w:val="004D7A7E"/>
    <w:rsid w:val="004D7C73"/>
    <w:rsid w:val="004D7FD7"/>
    <w:rsid w:val="004E0132"/>
    <w:rsid w:val="004E043C"/>
    <w:rsid w:val="004E0DC5"/>
    <w:rsid w:val="004E100C"/>
    <w:rsid w:val="004E1CC0"/>
    <w:rsid w:val="004E204E"/>
    <w:rsid w:val="004E26E2"/>
    <w:rsid w:val="004E36C4"/>
    <w:rsid w:val="004E437E"/>
    <w:rsid w:val="004E59DD"/>
    <w:rsid w:val="004E6744"/>
    <w:rsid w:val="004F0060"/>
    <w:rsid w:val="004F038C"/>
    <w:rsid w:val="004F0B0E"/>
    <w:rsid w:val="004F0BFB"/>
    <w:rsid w:val="004F0C5D"/>
    <w:rsid w:val="004F39F5"/>
    <w:rsid w:val="004F3BC0"/>
    <w:rsid w:val="004F4212"/>
    <w:rsid w:val="004F49F6"/>
    <w:rsid w:val="004F4B70"/>
    <w:rsid w:val="004F6AF8"/>
    <w:rsid w:val="004F782C"/>
    <w:rsid w:val="00500508"/>
    <w:rsid w:val="00505096"/>
    <w:rsid w:val="00505AEE"/>
    <w:rsid w:val="00505D21"/>
    <w:rsid w:val="0050602F"/>
    <w:rsid w:val="005063DE"/>
    <w:rsid w:val="00506444"/>
    <w:rsid w:val="00506596"/>
    <w:rsid w:val="00506C3D"/>
    <w:rsid w:val="00507878"/>
    <w:rsid w:val="00510FE5"/>
    <w:rsid w:val="00511672"/>
    <w:rsid w:val="00512342"/>
    <w:rsid w:val="00512B5A"/>
    <w:rsid w:val="00513244"/>
    <w:rsid w:val="00514EAE"/>
    <w:rsid w:val="00515841"/>
    <w:rsid w:val="005170CA"/>
    <w:rsid w:val="00520804"/>
    <w:rsid w:val="00520E26"/>
    <w:rsid w:val="00521326"/>
    <w:rsid w:val="005230DE"/>
    <w:rsid w:val="00523570"/>
    <w:rsid w:val="005254CB"/>
    <w:rsid w:val="00526EBD"/>
    <w:rsid w:val="0053018F"/>
    <w:rsid w:val="00530472"/>
    <w:rsid w:val="00530B7F"/>
    <w:rsid w:val="005315D3"/>
    <w:rsid w:val="00531A77"/>
    <w:rsid w:val="00532674"/>
    <w:rsid w:val="00532B92"/>
    <w:rsid w:val="0053335C"/>
    <w:rsid w:val="005334AA"/>
    <w:rsid w:val="00534FED"/>
    <w:rsid w:val="005357EF"/>
    <w:rsid w:val="00535F08"/>
    <w:rsid w:val="005403C7"/>
    <w:rsid w:val="00540765"/>
    <w:rsid w:val="00541DA7"/>
    <w:rsid w:val="00542529"/>
    <w:rsid w:val="005426F2"/>
    <w:rsid w:val="00542741"/>
    <w:rsid w:val="005441C9"/>
    <w:rsid w:val="0054423D"/>
    <w:rsid w:val="00544664"/>
    <w:rsid w:val="00546848"/>
    <w:rsid w:val="00546D9F"/>
    <w:rsid w:val="005478C5"/>
    <w:rsid w:val="00550D82"/>
    <w:rsid w:val="00553B13"/>
    <w:rsid w:val="00554069"/>
    <w:rsid w:val="0055482B"/>
    <w:rsid w:val="005550ED"/>
    <w:rsid w:val="005555FD"/>
    <w:rsid w:val="005556DC"/>
    <w:rsid w:val="00555B13"/>
    <w:rsid w:val="00556C46"/>
    <w:rsid w:val="00557776"/>
    <w:rsid w:val="005624BA"/>
    <w:rsid w:val="00562EE5"/>
    <w:rsid w:val="005637C9"/>
    <w:rsid w:val="00563970"/>
    <w:rsid w:val="00564147"/>
    <w:rsid w:val="00564469"/>
    <w:rsid w:val="0056452F"/>
    <w:rsid w:val="00565261"/>
    <w:rsid w:val="005677F5"/>
    <w:rsid w:val="005706FB"/>
    <w:rsid w:val="00572698"/>
    <w:rsid w:val="00573517"/>
    <w:rsid w:val="0057423E"/>
    <w:rsid w:val="00574827"/>
    <w:rsid w:val="00575A17"/>
    <w:rsid w:val="0057624C"/>
    <w:rsid w:val="0057643F"/>
    <w:rsid w:val="00576B1D"/>
    <w:rsid w:val="00577108"/>
    <w:rsid w:val="00580256"/>
    <w:rsid w:val="005810D1"/>
    <w:rsid w:val="0058174D"/>
    <w:rsid w:val="00581888"/>
    <w:rsid w:val="0058289F"/>
    <w:rsid w:val="00583DD0"/>
    <w:rsid w:val="00590FFA"/>
    <w:rsid w:val="00592197"/>
    <w:rsid w:val="00594532"/>
    <w:rsid w:val="0059457E"/>
    <w:rsid w:val="00594C10"/>
    <w:rsid w:val="00594D94"/>
    <w:rsid w:val="005954BF"/>
    <w:rsid w:val="005959BF"/>
    <w:rsid w:val="00595A81"/>
    <w:rsid w:val="005962EA"/>
    <w:rsid w:val="005A052D"/>
    <w:rsid w:val="005A0FE7"/>
    <w:rsid w:val="005A1569"/>
    <w:rsid w:val="005A1732"/>
    <w:rsid w:val="005A1D6D"/>
    <w:rsid w:val="005A23B9"/>
    <w:rsid w:val="005A28BE"/>
    <w:rsid w:val="005A5B50"/>
    <w:rsid w:val="005A5E25"/>
    <w:rsid w:val="005B1C10"/>
    <w:rsid w:val="005B26E3"/>
    <w:rsid w:val="005B7B00"/>
    <w:rsid w:val="005C0209"/>
    <w:rsid w:val="005C09F7"/>
    <w:rsid w:val="005C1136"/>
    <w:rsid w:val="005C1691"/>
    <w:rsid w:val="005C3639"/>
    <w:rsid w:val="005C3647"/>
    <w:rsid w:val="005C5A30"/>
    <w:rsid w:val="005C5DE5"/>
    <w:rsid w:val="005C5E78"/>
    <w:rsid w:val="005C624B"/>
    <w:rsid w:val="005C69DE"/>
    <w:rsid w:val="005C6F27"/>
    <w:rsid w:val="005D0068"/>
    <w:rsid w:val="005D0B67"/>
    <w:rsid w:val="005D0BA3"/>
    <w:rsid w:val="005D0D88"/>
    <w:rsid w:val="005D1F91"/>
    <w:rsid w:val="005D5E9E"/>
    <w:rsid w:val="005D66B3"/>
    <w:rsid w:val="005D6C28"/>
    <w:rsid w:val="005D7EDA"/>
    <w:rsid w:val="005E0567"/>
    <w:rsid w:val="005E0E4A"/>
    <w:rsid w:val="005E11D1"/>
    <w:rsid w:val="005E14DF"/>
    <w:rsid w:val="005E1C85"/>
    <w:rsid w:val="005E2F5D"/>
    <w:rsid w:val="005E3C4A"/>
    <w:rsid w:val="005E3DFA"/>
    <w:rsid w:val="005E3E56"/>
    <w:rsid w:val="005E4C56"/>
    <w:rsid w:val="005E5BB9"/>
    <w:rsid w:val="005E615B"/>
    <w:rsid w:val="005E73EB"/>
    <w:rsid w:val="005E7489"/>
    <w:rsid w:val="005E7B71"/>
    <w:rsid w:val="005F210E"/>
    <w:rsid w:val="005F2987"/>
    <w:rsid w:val="005F3AC8"/>
    <w:rsid w:val="005F4574"/>
    <w:rsid w:val="005F45A9"/>
    <w:rsid w:val="005F5504"/>
    <w:rsid w:val="005F557E"/>
    <w:rsid w:val="005F6E30"/>
    <w:rsid w:val="005F704F"/>
    <w:rsid w:val="006033AB"/>
    <w:rsid w:val="00603579"/>
    <w:rsid w:val="00603F44"/>
    <w:rsid w:val="00603F66"/>
    <w:rsid w:val="00605108"/>
    <w:rsid w:val="0060741B"/>
    <w:rsid w:val="0060766D"/>
    <w:rsid w:val="00607A1B"/>
    <w:rsid w:val="0061104D"/>
    <w:rsid w:val="0061109E"/>
    <w:rsid w:val="0061403A"/>
    <w:rsid w:val="00614CD5"/>
    <w:rsid w:val="006162F0"/>
    <w:rsid w:val="0061658B"/>
    <w:rsid w:val="006171B4"/>
    <w:rsid w:val="0062069D"/>
    <w:rsid w:val="00620866"/>
    <w:rsid w:val="00621B0F"/>
    <w:rsid w:val="00623E45"/>
    <w:rsid w:val="0062501E"/>
    <w:rsid w:val="00625DC4"/>
    <w:rsid w:val="0062777A"/>
    <w:rsid w:val="00627E07"/>
    <w:rsid w:val="0063002A"/>
    <w:rsid w:val="0063109A"/>
    <w:rsid w:val="006316AD"/>
    <w:rsid w:val="0063223E"/>
    <w:rsid w:val="00633D3F"/>
    <w:rsid w:val="00634086"/>
    <w:rsid w:val="00634337"/>
    <w:rsid w:val="00636093"/>
    <w:rsid w:val="00636D9B"/>
    <w:rsid w:val="00637945"/>
    <w:rsid w:val="0064027F"/>
    <w:rsid w:val="00640D9C"/>
    <w:rsid w:val="00641C67"/>
    <w:rsid w:val="00642285"/>
    <w:rsid w:val="006423CC"/>
    <w:rsid w:val="0064368C"/>
    <w:rsid w:val="00643B49"/>
    <w:rsid w:val="006463CA"/>
    <w:rsid w:val="006470A6"/>
    <w:rsid w:val="00650723"/>
    <w:rsid w:val="00651CD1"/>
    <w:rsid w:val="00652361"/>
    <w:rsid w:val="006537BB"/>
    <w:rsid w:val="00655C0D"/>
    <w:rsid w:val="00655EC7"/>
    <w:rsid w:val="00656442"/>
    <w:rsid w:val="00657F8D"/>
    <w:rsid w:val="006604D8"/>
    <w:rsid w:val="006608A9"/>
    <w:rsid w:val="00661667"/>
    <w:rsid w:val="006622A7"/>
    <w:rsid w:val="0066353E"/>
    <w:rsid w:val="00663F8B"/>
    <w:rsid w:val="00663F9A"/>
    <w:rsid w:val="00664684"/>
    <w:rsid w:val="006646F1"/>
    <w:rsid w:val="00665AE3"/>
    <w:rsid w:val="00665BBB"/>
    <w:rsid w:val="006675A1"/>
    <w:rsid w:val="0067137A"/>
    <w:rsid w:val="00672131"/>
    <w:rsid w:val="006726FB"/>
    <w:rsid w:val="00673A97"/>
    <w:rsid w:val="00674AC7"/>
    <w:rsid w:val="00675587"/>
    <w:rsid w:val="00675B54"/>
    <w:rsid w:val="00676352"/>
    <w:rsid w:val="00676811"/>
    <w:rsid w:val="00677250"/>
    <w:rsid w:val="0068073E"/>
    <w:rsid w:val="00680E03"/>
    <w:rsid w:val="0068104A"/>
    <w:rsid w:val="006825D8"/>
    <w:rsid w:val="00682A11"/>
    <w:rsid w:val="00684733"/>
    <w:rsid w:val="00684A92"/>
    <w:rsid w:val="00687851"/>
    <w:rsid w:val="006914A2"/>
    <w:rsid w:val="006918E9"/>
    <w:rsid w:val="00691A5C"/>
    <w:rsid w:val="00691DAA"/>
    <w:rsid w:val="0069203D"/>
    <w:rsid w:val="00694498"/>
    <w:rsid w:val="006944D1"/>
    <w:rsid w:val="00694982"/>
    <w:rsid w:val="00697252"/>
    <w:rsid w:val="00697380"/>
    <w:rsid w:val="006A0010"/>
    <w:rsid w:val="006A0DFB"/>
    <w:rsid w:val="006A2D2A"/>
    <w:rsid w:val="006A32F5"/>
    <w:rsid w:val="006A3C49"/>
    <w:rsid w:val="006A4045"/>
    <w:rsid w:val="006A4991"/>
    <w:rsid w:val="006A4EA8"/>
    <w:rsid w:val="006A5A49"/>
    <w:rsid w:val="006A5B7D"/>
    <w:rsid w:val="006A5CC4"/>
    <w:rsid w:val="006A5E20"/>
    <w:rsid w:val="006A70F4"/>
    <w:rsid w:val="006A79D4"/>
    <w:rsid w:val="006B0848"/>
    <w:rsid w:val="006B0C51"/>
    <w:rsid w:val="006B3B83"/>
    <w:rsid w:val="006B3F16"/>
    <w:rsid w:val="006B5730"/>
    <w:rsid w:val="006B5E42"/>
    <w:rsid w:val="006B5EBA"/>
    <w:rsid w:val="006B71C3"/>
    <w:rsid w:val="006B78F4"/>
    <w:rsid w:val="006C011A"/>
    <w:rsid w:val="006C030C"/>
    <w:rsid w:val="006C0659"/>
    <w:rsid w:val="006C07C1"/>
    <w:rsid w:val="006C0C0A"/>
    <w:rsid w:val="006C1A7F"/>
    <w:rsid w:val="006C3615"/>
    <w:rsid w:val="006C40B3"/>
    <w:rsid w:val="006C69BD"/>
    <w:rsid w:val="006C7AC2"/>
    <w:rsid w:val="006D0623"/>
    <w:rsid w:val="006D1BFE"/>
    <w:rsid w:val="006D1C09"/>
    <w:rsid w:val="006D3F98"/>
    <w:rsid w:val="006D5CF9"/>
    <w:rsid w:val="006D6827"/>
    <w:rsid w:val="006D7886"/>
    <w:rsid w:val="006D78A0"/>
    <w:rsid w:val="006D7B47"/>
    <w:rsid w:val="006E0322"/>
    <w:rsid w:val="006E1E69"/>
    <w:rsid w:val="006E259E"/>
    <w:rsid w:val="006E26BD"/>
    <w:rsid w:val="006E2997"/>
    <w:rsid w:val="006E3FAB"/>
    <w:rsid w:val="006E4EE7"/>
    <w:rsid w:val="006E4F4E"/>
    <w:rsid w:val="006E5CAA"/>
    <w:rsid w:val="006E657C"/>
    <w:rsid w:val="006E721B"/>
    <w:rsid w:val="006E7944"/>
    <w:rsid w:val="006F0266"/>
    <w:rsid w:val="006F0A76"/>
    <w:rsid w:val="006F112E"/>
    <w:rsid w:val="006F1FAC"/>
    <w:rsid w:val="006F3775"/>
    <w:rsid w:val="006F4457"/>
    <w:rsid w:val="006F44FE"/>
    <w:rsid w:val="006F46E7"/>
    <w:rsid w:val="006F4788"/>
    <w:rsid w:val="006F4938"/>
    <w:rsid w:val="006F51AD"/>
    <w:rsid w:val="006F588E"/>
    <w:rsid w:val="006F5E81"/>
    <w:rsid w:val="006F5F1F"/>
    <w:rsid w:val="006F63EA"/>
    <w:rsid w:val="006F6797"/>
    <w:rsid w:val="006F6CC7"/>
    <w:rsid w:val="006F6EA7"/>
    <w:rsid w:val="006F7168"/>
    <w:rsid w:val="006F7AAD"/>
    <w:rsid w:val="006F7D8B"/>
    <w:rsid w:val="00700DA6"/>
    <w:rsid w:val="00700DB7"/>
    <w:rsid w:val="00701CFD"/>
    <w:rsid w:val="007020BF"/>
    <w:rsid w:val="007022DC"/>
    <w:rsid w:val="00702510"/>
    <w:rsid w:val="0070279B"/>
    <w:rsid w:val="00703CC2"/>
    <w:rsid w:val="00703D5A"/>
    <w:rsid w:val="0070569C"/>
    <w:rsid w:val="007057EB"/>
    <w:rsid w:val="0070583C"/>
    <w:rsid w:val="00705BC1"/>
    <w:rsid w:val="00706750"/>
    <w:rsid w:val="007075CE"/>
    <w:rsid w:val="007100CC"/>
    <w:rsid w:val="00711173"/>
    <w:rsid w:val="00711488"/>
    <w:rsid w:val="00711599"/>
    <w:rsid w:val="007129B2"/>
    <w:rsid w:val="00712ECA"/>
    <w:rsid w:val="007134F6"/>
    <w:rsid w:val="00713ABC"/>
    <w:rsid w:val="00714306"/>
    <w:rsid w:val="00714673"/>
    <w:rsid w:val="00714E9C"/>
    <w:rsid w:val="007157C8"/>
    <w:rsid w:val="007161DB"/>
    <w:rsid w:val="00716F26"/>
    <w:rsid w:val="00717454"/>
    <w:rsid w:val="007200D9"/>
    <w:rsid w:val="00720503"/>
    <w:rsid w:val="00720943"/>
    <w:rsid w:val="00721D6C"/>
    <w:rsid w:val="00723994"/>
    <w:rsid w:val="007250D0"/>
    <w:rsid w:val="00725978"/>
    <w:rsid w:val="007260A0"/>
    <w:rsid w:val="007264E7"/>
    <w:rsid w:val="00727D79"/>
    <w:rsid w:val="00727F02"/>
    <w:rsid w:val="007307B3"/>
    <w:rsid w:val="00731216"/>
    <w:rsid w:val="0073197F"/>
    <w:rsid w:val="00731C96"/>
    <w:rsid w:val="00732A34"/>
    <w:rsid w:val="00732A8A"/>
    <w:rsid w:val="00732FC0"/>
    <w:rsid w:val="0073358A"/>
    <w:rsid w:val="00733FD9"/>
    <w:rsid w:val="007348B9"/>
    <w:rsid w:val="00735D76"/>
    <w:rsid w:val="00736CA8"/>
    <w:rsid w:val="00743C1E"/>
    <w:rsid w:val="00743C77"/>
    <w:rsid w:val="0074473F"/>
    <w:rsid w:val="007449D7"/>
    <w:rsid w:val="007451BE"/>
    <w:rsid w:val="00746D86"/>
    <w:rsid w:val="00750606"/>
    <w:rsid w:val="00750C66"/>
    <w:rsid w:val="00751355"/>
    <w:rsid w:val="00751DEF"/>
    <w:rsid w:val="00754246"/>
    <w:rsid w:val="00754943"/>
    <w:rsid w:val="00754D85"/>
    <w:rsid w:val="00754E86"/>
    <w:rsid w:val="0075510E"/>
    <w:rsid w:val="007573D4"/>
    <w:rsid w:val="007611CF"/>
    <w:rsid w:val="007625FE"/>
    <w:rsid w:val="00762C69"/>
    <w:rsid w:val="00764219"/>
    <w:rsid w:val="00765105"/>
    <w:rsid w:val="00765E8F"/>
    <w:rsid w:val="00766E97"/>
    <w:rsid w:val="007673B7"/>
    <w:rsid w:val="00767FB7"/>
    <w:rsid w:val="0077078C"/>
    <w:rsid w:val="00770AF5"/>
    <w:rsid w:val="0077269C"/>
    <w:rsid w:val="00772B95"/>
    <w:rsid w:val="007737A3"/>
    <w:rsid w:val="00773BB8"/>
    <w:rsid w:val="007748A3"/>
    <w:rsid w:val="007749D9"/>
    <w:rsid w:val="0077517E"/>
    <w:rsid w:val="00775637"/>
    <w:rsid w:val="0077565E"/>
    <w:rsid w:val="00775A75"/>
    <w:rsid w:val="00776491"/>
    <w:rsid w:val="007765A0"/>
    <w:rsid w:val="00776650"/>
    <w:rsid w:val="007772F8"/>
    <w:rsid w:val="0077762D"/>
    <w:rsid w:val="00777CB5"/>
    <w:rsid w:val="00777EDA"/>
    <w:rsid w:val="00780634"/>
    <w:rsid w:val="0078115E"/>
    <w:rsid w:val="0078134B"/>
    <w:rsid w:val="007817BA"/>
    <w:rsid w:val="00781E1E"/>
    <w:rsid w:val="00782B6B"/>
    <w:rsid w:val="007833AC"/>
    <w:rsid w:val="00783CC3"/>
    <w:rsid w:val="007840A3"/>
    <w:rsid w:val="00785F3B"/>
    <w:rsid w:val="007863CD"/>
    <w:rsid w:val="00790554"/>
    <w:rsid w:val="0079137A"/>
    <w:rsid w:val="00791A7B"/>
    <w:rsid w:val="00791FF9"/>
    <w:rsid w:val="007934F7"/>
    <w:rsid w:val="00793EE3"/>
    <w:rsid w:val="0079404A"/>
    <w:rsid w:val="007942E0"/>
    <w:rsid w:val="00794935"/>
    <w:rsid w:val="007952BA"/>
    <w:rsid w:val="007961CB"/>
    <w:rsid w:val="007A001B"/>
    <w:rsid w:val="007A0B0D"/>
    <w:rsid w:val="007A0E3A"/>
    <w:rsid w:val="007A1271"/>
    <w:rsid w:val="007A4D96"/>
    <w:rsid w:val="007A5EF2"/>
    <w:rsid w:val="007B0654"/>
    <w:rsid w:val="007B1CF9"/>
    <w:rsid w:val="007B2AB2"/>
    <w:rsid w:val="007B37F0"/>
    <w:rsid w:val="007B65AA"/>
    <w:rsid w:val="007B7393"/>
    <w:rsid w:val="007B7914"/>
    <w:rsid w:val="007C0838"/>
    <w:rsid w:val="007C09C7"/>
    <w:rsid w:val="007C0FC8"/>
    <w:rsid w:val="007C178B"/>
    <w:rsid w:val="007C27EF"/>
    <w:rsid w:val="007C2D57"/>
    <w:rsid w:val="007C3DF7"/>
    <w:rsid w:val="007C68B3"/>
    <w:rsid w:val="007C74A8"/>
    <w:rsid w:val="007D227C"/>
    <w:rsid w:val="007D264E"/>
    <w:rsid w:val="007D2D5E"/>
    <w:rsid w:val="007D4040"/>
    <w:rsid w:val="007D4A1E"/>
    <w:rsid w:val="007D4B43"/>
    <w:rsid w:val="007D5470"/>
    <w:rsid w:val="007D62B0"/>
    <w:rsid w:val="007D6824"/>
    <w:rsid w:val="007E15B2"/>
    <w:rsid w:val="007E1F46"/>
    <w:rsid w:val="007E2989"/>
    <w:rsid w:val="007E2A41"/>
    <w:rsid w:val="007E3631"/>
    <w:rsid w:val="007E52B2"/>
    <w:rsid w:val="007E64C7"/>
    <w:rsid w:val="007E65E8"/>
    <w:rsid w:val="007E7E36"/>
    <w:rsid w:val="007F21FC"/>
    <w:rsid w:val="007F3838"/>
    <w:rsid w:val="007F3CC5"/>
    <w:rsid w:val="007F4863"/>
    <w:rsid w:val="007F4D50"/>
    <w:rsid w:val="007F58C1"/>
    <w:rsid w:val="007F5C5C"/>
    <w:rsid w:val="007F617B"/>
    <w:rsid w:val="007F737A"/>
    <w:rsid w:val="007F789D"/>
    <w:rsid w:val="007F78A7"/>
    <w:rsid w:val="007F7E5F"/>
    <w:rsid w:val="00800FD8"/>
    <w:rsid w:val="00801179"/>
    <w:rsid w:val="008011A3"/>
    <w:rsid w:val="00803EDD"/>
    <w:rsid w:val="008043B3"/>
    <w:rsid w:val="00804D98"/>
    <w:rsid w:val="00805D12"/>
    <w:rsid w:val="00805DD8"/>
    <w:rsid w:val="00806216"/>
    <w:rsid w:val="00806A26"/>
    <w:rsid w:val="00810EDB"/>
    <w:rsid w:val="00811D20"/>
    <w:rsid w:val="0081485B"/>
    <w:rsid w:val="008153CE"/>
    <w:rsid w:val="008156CE"/>
    <w:rsid w:val="00817D32"/>
    <w:rsid w:val="0082289C"/>
    <w:rsid w:val="00822B8F"/>
    <w:rsid w:val="00823913"/>
    <w:rsid w:val="0082401E"/>
    <w:rsid w:val="0082480F"/>
    <w:rsid w:val="008252BC"/>
    <w:rsid w:val="00825312"/>
    <w:rsid w:val="00825376"/>
    <w:rsid w:val="0082585A"/>
    <w:rsid w:val="00826E34"/>
    <w:rsid w:val="00826FA0"/>
    <w:rsid w:val="008272B2"/>
    <w:rsid w:val="00827426"/>
    <w:rsid w:val="00830B78"/>
    <w:rsid w:val="00830E69"/>
    <w:rsid w:val="0083234B"/>
    <w:rsid w:val="008345C8"/>
    <w:rsid w:val="0083515B"/>
    <w:rsid w:val="00835E98"/>
    <w:rsid w:val="00836521"/>
    <w:rsid w:val="0083687A"/>
    <w:rsid w:val="00836A89"/>
    <w:rsid w:val="00837EA8"/>
    <w:rsid w:val="00837F1A"/>
    <w:rsid w:val="0084062C"/>
    <w:rsid w:val="00840B52"/>
    <w:rsid w:val="00840C29"/>
    <w:rsid w:val="008416A0"/>
    <w:rsid w:val="00842AA5"/>
    <w:rsid w:val="008434F0"/>
    <w:rsid w:val="00843C83"/>
    <w:rsid w:val="00843D9B"/>
    <w:rsid w:val="00844127"/>
    <w:rsid w:val="0084432A"/>
    <w:rsid w:val="00844A35"/>
    <w:rsid w:val="0084699F"/>
    <w:rsid w:val="00846CCB"/>
    <w:rsid w:val="0084728D"/>
    <w:rsid w:val="00847EDD"/>
    <w:rsid w:val="00850E5E"/>
    <w:rsid w:val="008517F7"/>
    <w:rsid w:val="0085372E"/>
    <w:rsid w:val="00853E35"/>
    <w:rsid w:val="00854D51"/>
    <w:rsid w:val="008551A7"/>
    <w:rsid w:val="008552F5"/>
    <w:rsid w:val="00855566"/>
    <w:rsid w:val="0085686D"/>
    <w:rsid w:val="00856EFC"/>
    <w:rsid w:val="00857EEA"/>
    <w:rsid w:val="00860608"/>
    <w:rsid w:val="00860FBF"/>
    <w:rsid w:val="008619C3"/>
    <w:rsid w:val="00861FEC"/>
    <w:rsid w:val="00862A5A"/>
    <w:rsid w:val="00863FA6"/>
    <w:rsid w:val="008646BB"/>
    <w:rsid w:val="0086471C"/>
    <w:rsid w:val="00864866"/>
    <w:rsid w:val="00865326"/>
    <w:rsid w:val="00865F2E"/>
    <w:rsid w:val="00867B43"/>
    <w:rsid w:val="008717E3"/>
    <w:rsid w:val="008725D5"/>
    <w:rsid w:val="00872B4A"/>
    <w:rsid w:val="00873845"/>
    <w:rsid w:val="0087430D"/>
    <w:rsid w:val="00875832"/>
    <w:rsid w:val="008765F7"/>
    <w:rsid w:val="00877186"/>
    <w:rsid w:val="00877421"/>
    <w:rsid w:val="00881AE2"/>
    <w:rsid w:val="00882BCA"/>
    <w:rsid w:val="0088389E"/>
    <w:rsid w:val="008838B4"/>
    <w:rsid w:val="008838D5"/>
    <w:rsid w:val="00883C1E"/>
    <w:rsid w:val="00884D28"/>
    <w:rsid w:val="00884E41"/>
    <w:rsid w:val="00886704"/>
    <w:rsid w:val="00886AC4"/>
    <w:rsid w:val="00891072"/>
    <w:rsid w:val="00891776"/>
    <w:rsid w:val="00891B6F"/>
    <w:rsid w:val="008934A4"/>
    <w:rsid w:val="008934D6"/>
    <w:rsid w:val="008936E9"/>
    <w:rsid w:val="00893B15"/>
    <w:rsid w:val="0089458B"/>
    <w:rsid w:val="00894C36"/>
    <w:rsid w:val="008978BA"/>
    <w:rsid w:val="008979D2"/>
    <w:rsid w:val="00897B7D"/>
    <w:rsid w:val="008A01A8"/>
    <w:rsid w:val="008A04BA"/>
    <w:rsid w:val="008A0524"/>
    <w:rsid w:val="008A36F8"/>
    <w:rsid w:val="008A5C87"/>
    <w:rsid w:val="008A6888"/>
    <w:rsid w:val="008B0457"/>
    <w:rsid w:val="008B096D"/>
    <w:rsid w:val="008B2084"/>
    <w:rsid w:val="008B30C0"/>
    <w:rsid w:val="008B3855"/>
    <w:rsid w:val="008B3A2D"/>
    <w:rsid w:val="008B4710"/>
    <w:rsid w:val="008B509E"/>
    <w:rsid w:val="008B54AB"/>
    <w:rsid w:val="008B54D5"/>
    <w:rsid w:val="008B570C"/>
    <w:rsid w:val="008B5EF0"/>
    <w:rsid w:val="008C04F9"/>
    <w:rsid w:val="008C2320"/>
    <w:rsid w:val="008C24B6"/>
    <w:rsid w:val="008C27F4"/>
    <w:rsid w:val="008C451E"/>
    <w:rsid w:val="008C4E32"/>
    <w:rsid w:val="008C5950"/>
    <w:rsid w:val="008C5D3D"/>
    <w:rsid w:val="008C7B98"/>
    <w:rsid w:val="008D076A"/>
    <w:rsid w:val="008D23C0"/>
    <w:rsid w:val="008D2727"/>
    <w:rsid w:val="008D5977"/>
    <w:rsid w:val="008D70E9"/>
    <w:rsid w:val="008D78CD"/>
    <w:rsid w:val="008E0A50"/>
    <w:rsid w:val="008E1038"/>
    <w:rsid w:val="008E21B3"/>
    <w:rsid w:val="008E267D"/>
    <w:rsid w:val="008E3B69"/>
    <w:rsid w:val="008E57C0"/>
    <w:rsid w:val="008E5B2E"/>
    <w:rsid w:val="008E5E14"/>
    <w:rsid w:val="008E5E99"/>
    <w:rsid w:val="008E5EFD"/>
    <w:rsid w:val="008E6E25"/>
    <w:rsid w:val="008E7068"/>
    <w:rsid w:val="008F0D15"/>
    <w:rsid w:val="008F3B6F"/>
    <w:rsid w:val="008F3C25"/>
    <w:rsid w:val="008F3E64"/>
    <w:rsid w:val="008F431B"/>
    <w:rsid w:val="008F4A14"/>
    <w:rsid w:val="008F5AFD"/>
    <w:rsid w:val="008F6658"/>
    <w:rsid w:val="008F7723"/>
    <w:rsid w:val="008F79EC"/>
    <w:rsid w:val="00901759"/>
    <w:rsid w:val="00902868"/>
    <w:rsid w:val="00902B05"/>
    <w:rsid w:val="009031A0"/>
    <w:rsid w:val="0090331B"/>
    <w:rsid w:val="0090360B"/>
    <w:rsid w:val="00904AD1"/>
    <w:rsid w:val="009063C7"/>
    <w:rsid w:val="00910D99"/>
    <w:rsid w:val="009112BB"/>
    <w:rsid w:val="00913141"/>
    <w:rsid w:val="009140DC"/>
    <w:rsid w:val="00914255"/>
    <w:rsid w:val="0091485A"/>
    <w:rsid w:val="00916C6C"/>
    <w:rsid w:val="009201F5"/>
    <w:rsid w:val="00920B86"/>
    <w:rsid w:val="00920DD9"/>
    <w:rsid w:val="0092237F"/>
    <w:rsid w:val="0092250A"/>
    <w:rsid w:val="00922719"/>
    <w:rsid w:val="00922F82"/>
    <w:rsid w:val="009235D8"/>
    <w:rsid w:val="00924955"/>
    <w:rsid w:val="00924DD1"/>
    <w:rsid w:val="0092607B"/>
    <w:rsid w:val="009264ED"/>
    <w:rsid w:val="00926849"/>
    <w:rsid w:val="009310D6"/>
    <w:rsid w:val="0093277B"/>
    <w:rsid w:val="00932AE8"/>
    <w:rsid w:val="00932CC4"/>
    <w:rsid w:val="009339A2"/>
    <w:rsid w:val="009339D1"/>
    <w:rsid w:val="00936AEC"/>
    <w:rsid w:val="009370D9"/>
    <w:rsid w:val="00937161"/>
    <w:rsid w:val="00937EE2"/>
    <w:rsid w:val="00941862"/>
    <w:rsid w:val="009433A7"/>
    <w:rsid w:val="009436BE"/>
    <w:rsid w:val="00943D4A"/>
    <w:rsid w:val="00943EEE"/>
    <w:rsid w:val="009449FE"/>
    <w:rsid w:val="00944D36"/>
    <w:rsid w:val="00945030"/>
    <w:rsid w:val="00946138"/>
    <w:rsid w:val="00946540"/>
    <w:rsid w:val="009479A1"/>
    <w:rsid w:val="0095041F"/>
    <w:rsid w:val="00950BE9"/>
    <w:rsid w:val="0095144F"/>
    <w:rsid w:val="00951CDE"/>
    <w:rsid w:val="00952538"/>
    <w:rsid w:val="009544FF"/>
    <w:rsid w:val="00954A86"/>
    <w:rsid w:val="00955105"/>
    <w:rsid w:val="009564BF"/>
    <w:rsid w:val="009573B2"/>
    <w:rsid w:val="009622D7"/>
    <w:rsid w:val="00962812"/>
    <w:rsid w:val="00962BDA"/>
    <w:rsid w:val="00962F92"/>
    <w:rsid w:val="00965236"/>
    <w:rsid w:val="009657F4"/>
    <w:rsid w:val="009663E2"/>
    <w:rsid w:val="00966AFA"/>
    <w:rsid w:val="00967213"/>
    <w:rsid w:val="00970990"/>
    <w:rsid w:val="00970A0D"/>
    <w:rsid w:val="0097168A"/>
    <w:rsid w:val="0097367A"/>
    <w:rsid w:val="00974BCC"/>
    <w:rsid w:val="009751DA"/>
    <w:rsid w:val="00975FC6"/>
    <w:rsid w:val="00976466"/>
    <w:rsid w:val="00976643"/>
    <w:rsid w:val="009832C9"/>
    <w:rsid w:val="009837F5"/>
    <w:rsid w:val="00983E8C"/>
    <w:rsid w:val="00984DE4"/>
    <w:rsid w:val="009850CF"/>
    <w:rsid w:val="00985356"/>
    <w:rsid w:val="0098545C"/>
    <w:rsid w:val="009865E6"/>
    <w:rsid w:val="00987CEF"/>
    <w:rsid w:val="0099040F"/>
    <w:rsid w:val="00990AB2"/>
    <w:rsid w:val="00991498"/>
    <w:rsid w:val="00993549"/>
    <w:rsid w:val="0099406F"/>
    <w:rsid w:val="00994DCE"/>
    <w:rsid w:val="009958C0"/>
    <w:rsid w:val="00995F8D"/>
    <w:rsid w:val="009A1D61"/>
    <w:rsid w:val="009A298D"/>
    <w:rsid w:val="009A32AB"/>
    <w:rsid w:val="009A3377"/>
    <w:rsid w:val="009A78F0"/>
    <w:rsid w:val="009B2324"/>
    <w:rsid w:val="009B28C9"/>
    <w:rsid w:val="009B296B"/>
    <w:rsid w:val="009B57DC"/>
    <w:rsid w:val="009B66E6"/>
    <w:rsid w:val="009B69A0"/>
    <w:rsid w:val="009B6F6B"/>
    <w:rsid w:val="009B7CCB"/>
    <w:rsid w:val="009B7D2C"/>
    <w:rsid w:val="009C086F"/>
    <w:rsid w:val="009C2536"/>
    <w:rsid w:val="009C4705"/>
    <w:rsid w:val="009C4D9B"/>
    <w:rsid w:val="009C4E79"/>
    <w:rsid w:val="009C513C"/>
    <w:rsid w:val="009C6B06"/>
    <w:rsid w:val="009C7FE7"/>
    <w:rsid w:val="009D0C2D"/>
    <w:rsid w:val="009D1E48"/>
    <w:rsid w:val="009D26A9"/>
    <w:rsid w:val="009D46F6"/>
    <w:rsid w:val="009D4E52"/>
    <w:rsid w:val="009D5E42"/>
    <w:rsid w:val="009D7791"/>
    <w:rsid w:val="009E0542"/>
    <w:rsid w:val="009E077F"/>
    <w:rsid w:val="009E0B68"/>
    <w:rsid w:val="009E1365"/>
    <w:rsid w:val="009E28D4"/>
    <w:rsid w:val="009E3A9F"/>
    <w:rsid w:val="009E6F32"/>
    <w:rsid w:val="009E74C1"/>
    <w:rsid w:val="009E7F70"/>
    <w:rsid w:val="009F3379"/>
    <w:rsid w:val="009F40E2"/>
    <w:rsid w:val="009F54CD"/>
    <w:rsid w:val="009F64CC"/>
    <w:rsid w:val="009F67E9"/>
    <w:rsid w:val="009F6A59"/>
    <w:rsid w:val="00A007CB"/>
    <w:rsid w:val="00A00BA8"/>
    <w:rsid w:val="00A02A68"/>
    <w:rsid w:val="00A04558"/>
    <w:rsid w:val="00A05126"/>
    <w:rsid w:val="00A05165"/>
    <w:rsid w:val="00A057A8"/>
    <w:rsid w:val="00A05B9C"/>
    <w:rsid w:val="00A0709E"/>
    <w:rsid w:val="00A11F42"/>
    <w:rsid w:val="00A12EA5"/>
    <w:rsid w:val="00A13791"/>
    <w:rsid w:val="00A13E9D"/>
    <w:rsid w:val="00A13F81"/>
    <w:rsid w:val="00A141DB"/>
    <w:rsid w:val="00A14836"/>
    <w:rsid w:val="00A14C6C"/>
    <w:rsid w:val="00A14F42"/>
    <w:rsid w:val="00A15D28"/>
    <w:rsid w:val="00A16F39"/>
    <w:rsid w:val="00A17302"/>
    <w:rsid w:val="00A177F0"/>
    <w:rsid w:val="00A20586"/>
    <w:rsid w:val="00A210F0"/>
    <w:rsid w:val="00A22131"/>
    <w:rsid w:val="00A2267A"/>
    <w:rsid w:val="00A235A7"/>
    <w:rsid w:val="00A23AD5"/>
    <w:rsid w:val="00A2529A"/>
    <w:rsid w:val="00A270ED"/>
    <w:rsid w:val="00A273DC"/>
    <w:rsid w:val="00A276D6"/>
    <w:rsid w:val="00A3054F"/>
    <w:rsid w:val="00A30899"/>
    <w:rsid w:val="00A32213"/>
    <w:rsid w:val="00A332EF"/>
    <w:rsid w:val="00A334A3"/>
    <w:rsid w:val="00A33BC4"/>
    <w:rsid w:val="00A33F46"/>
    <w:rsid w:val="00A340C7"/>
    <w:rsid w:val="00A352C2"/>
    <w:rsid w:val="00A35F23"/>
    <w:rsid w:val="00A3608A"/>
    <w:rsid w:val="00A36A43"/>
    <w:rsid w:val="00A36AD7"/>
    <w:rsid w:val="00A40786"/>
    <w:rsid w:val="00A42B1A"/>
    <w:rsid w:val="00A43FFC"/>
    <w:rsid w:val="00A442D0"/>
    <w:rsid w:val="00A446E2"/>
    <w:rsid w:val="00A450A6"/>
    <w:rsid w:val="00A45762"/>
    <w:rsid w:val="00A45B87"/>
    <w:rsid w:val="00A46D40"/>
    <w:rsid w:val="00A46F6B"/>
    <w:rsid w:val="00A47578"/>
    <w:rsid w:val="00A478D1"/>
    <w:rsid w:val="00A47B2A"/>
    <w:rsid w:val="00A5038E"/>
    <w:rsid w:val="00A50489"/>
    <w:rsid w:val="00A514CD"/>
    <w:rsid w:val="00A51BD1"/>
    <w:rsid w:val="00A5222F"/>
    <w:rsid w:val="00A5254F"/>
    <w:rsid w:val="00A52AE9"/>
    <w:rsid w:val="00A5375E"/>
    <w:rsid w:val="00A538C3"/>
    <w:rsid w:val="00A5392D"/>
    <w:rsid w:val="00A54449"/>
    <w:rsid w:val="00A54499"/>
    <w:rsid w:val="00A5467D"/>
    <w:rsid w:val="00A55C01"/>
    <w:rsid w:val="00A57D1B"/>
    <w:rsid w:val="00A60C43"/>
    <w:rsid w:val="00A60C77"/>
    <w:rsid w:val="00A6148A"/>
    <w:rsid w:val="00A615BA"/>
    <w:rsid w:val="00A61F33"/>
    <w:rsid w:val="00A62293"/>
    <w:rsid w:val="00A64697"/>
    <w:rsid w:val="00A6512A"/>
    <w:rsid w:val="00A663D7"/>
    <w:rsid w:val="00A6673B"/>
    <w:rsid w:val="00A66B6F"/>
    <w:rsid w:val="00A66F29"/>
    <w:rsid w:val="00A67C2D"/>
    <w:rsid w:val="00A70014"/>
    <w:rsid w:val="00A7136D"/>
    <w:rsid w:val="00A743BD"/>
    <w:rsid w:val="00A753F2"/>
    <w:rsid w:val="00A7572B"/>
    <w:rsid w:val="00A759BF"/>
    <w:rsid w:val="00A77381"/>
    <w:rsid w:val="00A77A1A"/>
    <w:rsid w:val="00A80007"/>
    <w:rsid w:val="00A81A47"/>
    <w:rsid w:val="00A81E17"/>
    <w:rsid w:val="00A8295E"/>
    <w:rsid w:val="00A83AF9"/>
    <w:rsid w:val="00A84D67"/>
    <w:rsid w:val="00A8587C"/>
    <w:rsid w:val="00A85E7C"/>
    <w:rsid w:val="00A860E1"/>
    <w:rsid w:val="00A86175"/>
    <w:rsid w:val="00A867EB"/>
    <w:rsid w:val="00A86BA8"/>
    <w:rsid w:val="00A87263"/>
    <w:rsid w:val="00A901E0"/>
    <w:rsid w:val="00A918C7"/>
    <w:rsid w:val="00A930B0"/>
    <w:rsid w:val="00A95282"/>
    <w:rsid w:val="00A963A5"/>
    <w:rsid w:val="00A97513"/>
    <w:rsid w:val="00A97A21"/>
    <w:rsid w:val="00AA005C"/>
    <w:rsid w:val="00AA0445"/>
    <w:rsid w:val="00AA2D36"/>
    <w:rsid w:val="00AA395E"/>
    <w:rsid w:val="00AA4004"/>
    <w:rsid w:val="00AA40B0"/>
    <w:rsid w:val="00AA44E1"/>
    <w:rsid w:val="00AA473C"/>
    <w:rsid w:val="00AA4BCF"/>
    <w:rsid w:val="00AA6293"/>
    <w:rsid w:val="00AA64ED"/>
    <w:rsid w:val="00AA6D35"/>
    <w:rsid w:val="00AA709C"/>
    <w:rsid w:val="00AA7A07"/>
    <w:rsid w:val="00AA7B04"/>
    <w:rsid w:val="00AB1695"/>
    <w:rsid w:val="00AB1B33"/>
    <w:rsid w:val="00AB1EC7"/>
    <w:rsid w:val="00AB28E5"/>
    <w:rsid w:val="00AB2B09"/>
    <w:rsid w:val="00AB2BDD"/>
    <w:rsid w:val="00AB4BC0"/>
    <w:rsid w:val="00AB5052"/>
    <w:rsid w:val="00AB52F3"/>
    <w:rsid w:val="00AB69EE"/>
    <w:rsid w:val="00AC1954"/>
    <w:rsid w:val="00AC2CA3"/>
    <w:rsid w:val="00AC3257"/>
    <w:rsid w:val="00AC406C"/>
    <w:rsid w:val="00AC4CDD"/>
    <w:rsid w:val="00AC500E"/>
    <w:rsid w:val="00AC7454"/>
    <w:rsid w:val="00AC7D16"/>
    <w:rsid w:val="00AC7D2C"/>
    <w:rsid w:val="00AD0941"/>
    <w:rsid w:val="00AD1CB9"/>
    <w:rsid w:val="00AD319D"/>
    <w:rsid w:val="00AD3649"/>
    <w:rsid w:val="00AD49F3"/>
    <w:rsid w:val="00AD5AB0"/>
    <w:rsid w:val="00AD6150"/>
    <w:rsid w:val="00AD77C1"/>
    <w:rsid w:val="00AE10DE"/>
    <w:rsid w:val="00AE2798"/>
    <w:rsid w:val="00AE3142"/>
    <w:rsid w:val="00AE3214"/>
    <w:rsid w:val="00AE3377"/>
    <w:rsid w:val="00AE3A4A"/>
    <w:rsid w:val="00AE3BD5"/>
    <w:rsid w:val="00AE424D"/>
    <w:rsid w:val="00AE4A88"/>
    <w:rsid w:val="00AE70B4"/>
    <w:rsid w:val="00AF0071"/>
    <w:rsid w:val="00AF007D"/>
    <w:rsid w:val="00AF11F1"/>
    <w:rsid w:val="00AF2D89"/>
    <w:rsid w:val="00AF6C6D"/>
    <w:rsid w:val="00AF70A5"/>
    <w:rsid w:val="00AF7A0B"/>
    <w:rsid w:val="00B0001B"/>
    <w:rsid w:val="00B011A0"/>
    <w:rsid w:val="00B02080"/>
    <w:rsid w:val="00B02419"/>
    <w:rsid w:val="00B030B3"/>
    <w:rsid w:val="00B04987"/>
    <w:rsid w:val="00B04A5F"/>
    <w:rsid w:val="00B0685A"/>
    <w:rsid w:val="00B068FE"/>
    <w:rsid w:val="00B07342"/>
    <w:rsid w:val="00B07D82"/>
    <w:rsid w:val="00B07F02"/>
    <w:rsid w:val="00B10107"/>
    <w:rsid w:val="00B1010B"/>
    <w:rsid w:val="00B10AFE"/>
    <w:rsid w:val="00B11C43"/>
    <w:rsid w:val="00B12373"/>
    <w:rsid w:val="00B132DC"/>
    <w:rsid w:val="00B13B66"/>
    <w:rsid w:val="00B145BB"/>
    <w:rsid w:val="00B14A33"/>
    <w:rsid w:val="00B14E1C"/>
    <w:rsid w:val="00B16CF0"/>
    <w:rsid w:val="00B21BB2"/>
    <w:rsid w:val="00B224F2"/>
    <w:rsid w:val="00B25881"/>
    <w:rsid w:val="00B266E8"/>
    <w:rsid w:val="00B3014E"/>
    <w:rsid w:val="00B307B3"/>
    <w:rsid w:val="00B311F0"/>
    <w:rsid w:val="00B318A9"/>
    <w:rsid w:val="00B328C3"/>
    <w:rsid w:val="00B329C6"/>
    <w:rsid w:val="00B33C3B"/>
    <w:rsid w:val="00B33D65"/>
    <w:rsid w:val="00B34328"/>
    <w:rsid w:val="00B343F4"/>
    <w:rsid w:val="00B34A73"/>
    <w:rsid w:val="00B3549C"/>
    <w:rsid w:val="00B35D9E"/>
    <w:rsid w:val="00B36FA6"/>
    <w:rsid w:val="00B416F0"/>
    <w:rsid w:val="00B41FD3"/>
    <w:rsid w:val="00B42046"/>
    <w:rsid w:val="00B43466"/>
    <w:rsid w:val="00B451A5"/>
    <w:rsid w:val="00B45EE1"/>
    <w:rsid w:val="00B46733"/>
    <w:rsid w:val="00B5120B"/>
    <w:rsid w:val="00B54024"/>
    <w:rsid w:val="00B54E92"/>
    <w:rsid w:val="00B572B5"/>
    <w:rsid w:val="00B60297"/>
    <w:rsid w:val="00B60E64"/>
    <w:rsid w:val="00B617F9"/>
    <w:rsid w:val="00B63250"/>
    <w:rsid w:val="00B64C27"/>
    <w:rsid w:val="00B64E88"/>
    <w:rsid w:val="00B66A92"/>
    <w:rsid w:val="00B66BD0"/>
    <w:rsid w:val="00B67376"/>
    <w:rsid w:val="00B70EBF"/>
    <w:rsid w:val="00B72700"/>
    <w:rsid w:val="00B73746"/>
    <w:rsid w:val="00B749EA"/>
    <w:rsid w:val="00B7631C"/>
    <w:rsid w:val="00B76BB7"/>
    <w:rsid w:val="00B80059"/>
    <w:rsid w:val="00B80288"/>
    <w:rsid w:val="00B80594"/>
    <w:rsid w:val="00B80609"/>
    <w:rsid w:val="00B80B7C"/>
    <w:rsid w:val="00B82D1A"/>
    <w:rsid w:val="00B83F3F"/>
    <w:rsid w:val="00B8400B"/>
    <w:rsid w:val="00B8416D"/>
    <w:rsid w:val="00B84DC3"/>
    <w:rsid w:val="00B85438"/>
    <w:rsid w:val="00B86834"/>
    <w:rsid w:val="00B86FAE"/>
    <w:rsid w:val="00B90346"/>
    <w:rsid w:val="00B90C20"/>
    <w:rsid w:val="00B90CB5"/>
    <w:rsid w:val="00B9185D"/>
    <w:rsid w:val="00B92777"/>
    <w:rsid w:val="00B92BB0"/>
    <w:rsid w:val="00B93D0F"/>
    <w:rsid w:val="00B95087"/>
    <w:rsid w:val="00B95789"/>
    <w:rsid w:val="00B96F9D"/>
    <w:rsid w:val="00B9736E"/>
    <w:rsid w:val="00BA0C4C"/>
    <w:rsid w:val="00BA0EBB"/>
    <w:rsid w:val="00BA35F8"/>
    <w:rsid w:val="00BA422E"/>
    <w:rsid w:val="00BA46B1"/>
    <w:rsid w:val="00BA4907"/>
    <w:rsid w:val="00BA59EB"/>
    <w:rsid w:val="00BA5B5B"/>
    <w:rsid w:val="00BA69D3"/>
    <w:rsid w:val="00BB0971"/>
    <w:rsid w:val="00BB0B64"/>
    <w:rsid w:val="00BB1A8F"/>
    <w:rsid w:val="00BB26C9"/>
    <w:rsid w:val="00BB31BD"/>
    <w:rsid w:val="00BB388D"/>
    <w:rsid w:val="00BB3F0F"/>
    <w:rsid w:val="00BB3FA1"/>
    <w:rsid w:val="00BB4B8A"/>
    <w:rsid w:val="00BB4F8E"/>
    <w:rsid w:val="00BB5324"/>
    <w:rsid w:val="00BB55DC"/>
    <w:rsid w:val="00BB5E84"/>
    <w:rsid w:val="00BB71B3"/>
    <w:rsid w:val="00BB7DB0"/>
    <w:rsid w:val="00BC107F"/>
    <w:rsid w:val="00BC1513"/>
    <w:rsid w:val="00BC1EDC"/>
    <w:rsid w:val="00BC2711"/>
    <w:rsid w:val="00BC33FD"/>
    <w:rsid w:val="00BC3DCA"/>
    <w:rsid w:val="00BC49E8"/>
    <w:rsid w:val="00BC4A62"/>
    <w:rsid w:val="00BC5B54"/>
    <w:rsid w:val="00BC5BAA"/>
    <w:rsid w:val="00BD10A7"/>
    <w:rsid w:val="00BD1584"/>
    <w:rsid w:val="00BD1CFF"/>
    <w:rsid w:val="00BD24F1"/>
    <w:rsid w:val="00BD3534"/>
    <w:rsid w:val="00BD608A"/>
    <w:rsid w:val="00BD793A"/>
    <w:rsid w:val="00BD7A36"/>
    <w:rsid w:val="00BD7E00"/>
    <w:rsid w:val="00BE473C"/>
    <w:rsid w:val="00BE4B9E"/>
    <w:rsid w:val="00BE6AC4"/>
    <w:rsid w:val="00BE6E00"/>
    <w:rsid w:val="00BF0C32"/>
    <w:rsid w:val="00BF0F25"/>
    <w:rsid w:val="00BF230D"/>
    <w:rsid w:val="00BF2CB9"/>
    <w:rsid w:val="00BF30BD"/>
    <w:rsid w:val="00BF36E0"/>
    <w:rsid w:val="00BF3FBC"/>
    <w:rsid w:val="00BF58A3"/>
    <w:rsid w:val="00BF5AE5"/>
    <w:rsid w:val="00BF6F73"/>
    <w:rsid w:val="00C00AF2"/>
    <w:rsid w:val="00C03080"/>
    <w:rsid w:val="00C0429A"/>
    <w:rsid w:val="00C048A0"/>
    <w:rsid w:val="00C04A4C"/>
    <w:rsid w:val="00C04E9D"/>
    <w:rsid w:val="00C0500B"/>
    <w:rsid w:val="00C05653"/>
    <w:rsid w:val="00C06D24"/>
    <w:rsid w:val="00C0722B"/>
    <w:rsid w:val="00C07802"/>
    <w:rsid w:val="00C07EA0"/>
    <w:rsid w:val="00C100AC"/>
    <w:rsid w:val="00C106CB"/>
    <w:rsid w:val="00C1091E"/>
    <w:rsid w:val="00C12B9B"/>
    <w:rsid w:val="00C12F0F"/>
    <w:rsid w:val="00C131E4"/>
    <w:rsid w:val="00C13FE9"/>
    <w:rsid w:val="00C14323"/>
    <w:rsid w:val="00C14807"/>
    <w:rsid w:val="00C150A9"/>
    <w:rsid w:val="00C151ED"/>
    <w:rsid w:val="00C156F7"/>
    <w:rsid w:val="00C167E9"/>
    <w:rsid w:val="00C1708E"/>
    <w:rsid w:val="00C170A1"/>
    <w:rsid w:val="00C173D4"/>
    <w:rsid w:val="00C17BEA"/>
    <w:rsid w:val="00C2008B"/>
    <w:rsid w:val="00C20E3C"/>
    <w:rsid w:val="00C2142A"/>
    <w:rsid w:val="00C21642"/>
    <w:rsid w:val="00C21DB4"/>
    <w:rsid w:val="00C223C7"/>
    <w:rsid w:val="00C22792"/>
    <w:rsid w:val="00C23186"/>
    <w:rsid w:val="00C23B6D"/>
    <w:rsid w:val="00C23CB8"/>
    <w:rsid w:val="00C23F6D"/>
    <w:rsid w:val="00C24459"/>
    <w:rsid w:val="00C24984"/>
    <w:rsid w:val="00C263AA"/>
    <w:rsid w:val="00C30164"/>
    <w:rsid w:val="00C30968"/>
    <w:rsid w:val="00C3241C"/>
    <w:rsid w:val="00C33245"/>
    <w:rsid w:val="00C3388C"/>
    <w:rsid w:val="00C3404B"/>
    <w:rsid w:val="00C34DB3"/>
    <w:rsid w:val="00C3587A"/>
    <w:rsid w:val="00C368B6"/>
    <w:rsid w:val="00C368E3"/>
    <w:rsid w:val="00C36AC0"/>
    <w:rsid w:val="00C41835"/>
    <w:rsid w:val="00C432E8"/>
    <w:rsid w:val="00C43568"/>
    <w:rsid w:val="00C44497"/>
    <w:rsid w:val="00C446D8"/>
    <w:rsid w:val="00C46DA4"/>
    <w:rsid w:val="00C501B1"/>
    <w:rsid w:val="00C51086"/>
    <w:rsid w:val="00C51C1B"/>
    <w:rsid w:val="00C53D72"/>
    <w:rsid w:val="00C54069"/>
    <w:rsid w:val="00C57A31"/>
    <w:rsid w:val="00C60D60"/>
    <w:rsid w:val="00C613F3"/>
    <w:rsid w:val="00C61779"/>
    <w:rsid w:val="00C620FD"/>
    <w:rsid w:val="00C622B3"/>
    <w:rsid w:val="00C62C1B"/>
    <w:rsid w:val="00C62E9A"/>
    <w:rsid w:val="00C644A4"/>
    <w:rsid w:val="00C700A2"/>
    <w:rsid w:val="00C702BB"/>
    <w:rsid w:val="00C71C58"/>
    <w:rsid w:val="00C7202A"/>
    <w:rsid w:val="00C72591"/>
    <w:rsid w:val="00C72632"/>
    <w:rsid w:val="00C7343B"/>
    <w:rsid w:val="00C73AE8"/>
    <w:rsid w:val="00C73CFF"/>
    <w:rsid w:val="00C743F2"/>
    <w:rsid w:val="00C75F43"/>
    <w:rsid w:val="00C7701D"/>
    <w:rsid w:val="00C80164"/>
    <w:rsid w:val="00C8023D"/>
    <w:rsid w:val="00C80D86"/>
    <w:rsid w:val="00C81710"/>
    <w:rsid w:val="00C817CB"/>
    <w:rsid w:val="00C847AC"/>
    <w:rsid w:val="00C8493C"/>
    <w:rsid w:val="00C85958"/>
    <w:rsid w:val="00C86D33"/>
    <w:rsid w:val="00C87044"/>
    <w:rsid w:val="00C9026A"/>
    <w:rsid w:val="00C9062C"/>
    <w:rsid w:val="00C9084A"/>
    <w:rsid w:val="00C90B14"/>
    <w:rsid w:val="00C9293B"/>
    <w:rsid w:val="00C92CF4"/>
    <w:rsid w:val="00C93876"/>
    <w:rsid w:val="00C94ABE"/>
    <w:rsid w:val="00C94DC2"/>
    <w:rsid w:val="00C950C3"/>
    <w:rsid w:val="00C95D0B"/>
    <w:rsid w:val="00C970CE"/>
    <w:rsid w:val="00C97698"/>
    <w:rsid w:val="00CA0F6B"/>
    <w:rsid w:val="00CA1693"/>
    <w:rsid w:val="00CA219F"/>
    <w:rsid w:val="00CA3196"/>
    <w:rsid w:val="00CA3F4F"/>
    <w:rsid w:val="00CA50C7"/>
    <w:rsid w:val="00CA5142"/>
    <w:rsid w:val="00CA5546"/>
    <w:rsid w:val="00CA58B0"/>
    <w:rsid w:val="00CA5F6E"/>
    <w:rsid w:val="00CA6A32"/>
    <w:rsid w:val="00CA6BB3"/>
    <w:rsid w:val="00CB0249"/>
    <w:rsid w:val="00CB1B74"/>
    <w:rsid w:val="00CB2F77"/>
    <w:rsid w:val="00CB32B5"/>
    <w:rsid w:val="00CB35C1"/>
    <w:rsid w:val="00CB45C5"/>
    <w:rsid w:val="00CB48CC"/>
    <w:rsid w:val="00CB48F7"/>
    <w:rsid w:val="00CB7D2F"/>
    <w:rsid w:val="00CB7EB1"/>
    <w:rsid w:val="00CC02D6"/>
    <w:rsid w:val="00CC11CA"/>
    <w:rsid w:val="00CC1CDF"/>
    <w:rsid w:val="00CC39E9"/>
    <w:rsid w:val="00CC3D39"/>
    <w:rsid w:val="00CC4C32"/>
    <w:rsid w:val="00CC60E6"/>
    <w:rsid w:val="00CC73FC"/>
    <w:rsid w:val="00CC74D1"/>
    <w:rsid w:val="00CD0CA5"/>
    <w:rsid w:val="00CD183A"/>
    <w:rsid w:val="00CD1904"/>
    <w:rsid w:val="00CD1DA1"/>
    <w:rsid w:val="00CD3444"/>
    <w:rsid w:val="00CD3873"/>
    <w:rsid w:val="00CD3BDC"/>
    <w:rsid w:val="00CD3CAD"/>
    <w:rsid w:val="00CD6982"/>
    <w:rsid w:val="00CD7C54"/>
    <w:rsid w:val="00CE0003"/>
    <w:rsid w:val="00CE2E03"/>
    <w:rsid w:val="00CE32D9"/>
    <w:rsid w:val="00CE3FB5"/>
    <w:rsid w:val="00CE4259"/>
    <w:rsid w:val="00CE4421"/>
    <w:rsid w:val="00CE448E"/>
    <w:rsid w:val="00CE4DFD"/>
    <w:rsid w:val="00CE5508"/>
    <w:rsid w:val="00CE594E"/>
    <w:rsid w:val="00CF0037"/>
    <w:rsid w:val="00CF17D7"/>
    <w:rsid w:val="00CF29D2"/>
    <w:rsid w:val="00CF2C30"/>
    <w:rsid w:val="00CF306A"/>
    <w:rsid w:val="00CF31A7"/>
    <w:rsid w:val="00CF3C75"/>
    <w:rsid w:val="00CF46B2"/>
    <w:rsid w:val="00CF4BD1"/>
    <w:rsid w:val="00CF66B5"/>
    <w:rsid w:val="00D00B5A"/>
    <w:rsid w:val="00D01084"/>
    <w:rsid w:val="00D01712"/>
    <w:rsid w:val="00D01FB9"/>
    <w:rsid w:val="00D0274E"/>
    <w:rsid w:val="00D03534"/>
    <w:rsid w:val="00D0488C"/>
    <w:rsid w:val="00D0594D"/>
    <w:rsid w:val="00D06296"/>
    <w:rsid w:val="00D06A7C"/>
    <w:rsid w:val="00D06CB2"/>
    <w:rsid w:val="00D07F77"/>
    <w:rsid w:val="00D121CF"/>
    <w:rsid w:val="00D126C3"/>
    <w:rsid w:val="00D12AB6"/>
    <w:rsid w:val="00D12AD3"/>
    <w:rsid w:val="00D12DAF"/>
    <w:rsid w:val="00D1314A"/>
    <w:rsid w:val="00D1326E"/>
    <w:rsid w:val="00D1379B"/>
    <w:rsid w:val="00D15CF3"/>
    <w:rsid w:val="00D162AB"/>
    <w:rsid w:val="00D1728E"/>
    <w:rsid w:val="00D2098D"/>
    <w:rsid w:val="00D217E1"/>
    <w:rsid w:val="00D218E5"/>
    <w:rsid w:val="00D22033"/>
    <w:rsid w:val="00D2248D"/>
    <w:rsid w:val="00D22A7D"/>
    <w:rsid w:val="00D22E11"/>
    <w:rsid w:val="00D23044"/>
    <w:rsid w:val="00D23658"/>
    <w:rsid w:val="00D23B3B"/>
    <w:rsid w:val="00D25150"/>
    <w:rsid w:val="00D25252"/>
    <w:rsid w:val="00D25AB2"/>
    <w:rsid w:val="00D26C77"/>
    <w:rsid w:val="00D27261"/>
    <w:rsid w:val="00D27375"/>
    <w:rsid w:val="00D3062A"/>
    <w:rsid w:val="00D31203"/>
    <w:rsid w:val="00D32471"/>
    <w:rsid w:val="00D34DD6"/>
    <w:rsid w:val="00D34E3B"/>
    <w:rsid w:val="00D35851"/>
    <w:rsid w:val="00D36C61"/>
    <w:rsid w:val="00D37876"/>
    <w:rsid w:val="00D37F32"/>
    <w:rsid w:val="00D40E57"/>
    <w:rsid w:val="00D41D29"/>
    <w:rsid w:val="00D439DF"/>
    <w:rsid w:val="00D43C67"/>
    <w:rsid w:val="00D453EB"/>
    <w:rsid w:val="00D45B27"/>
    <w:rsid w:val="00D4622E"/>
    <w:rsid w:val="00D46D80"/>
    <w:rsid w:val="00D471EF"/>
    <w:rsid w:val="00D50683"/>
    <w:rsid w:val="00D509F4"/>
    <w:rsid w:val="00D50BF9"/>
    <w:rsid w:val="00D51F9E"/>
    <w:rsid w:val="00D52702"/>
    <w:rsid w:val="00D5274A"/>
    <w:rsid w:val="00D527FA"/>
    <w:rsid w:val="00D53454"/>
    <w:rsid w:val="00D53A53"/>
    <w:rsid w:val="00D55DF4"/>
    <w:rsid w:val="00D5649D"/>
    <w:rsid w:val="00D603D3"/>
    <w:rsid w:val="00D6096D"/>
    <w:rsid w:val="00D60F06"/>
    <w:rsid w:val="00D61481"/>
    <w:rsid w:val="00D6268C"/>
    <w:rsid w:val="00D63B0D"/>
    <w:rsid w:val="00D64669"/>
    <w:rsid w:val="00D648F5"/>
    <w:rsid w:val="00D658A1"/>
    <w:rsid w:val="00D6607E"/>
    <w:rsid w:val="00D66716"/>
    <w:rsid w:val="00D667AA"/>
    <w:rsid w:val="00D66A5D"/>
    <w:rsid w:val="00D700FC"/>
    <w:rsid w:val="00D70263"/>
    <w:rsid w:val="00D744FF"/>
    <w:rsid w:val="00D755C5"/>
    <w:rsid w:val="00D76974"/>
    <w:rsid w:val="00D81003"/>
    <w:rsid w:val="00D810C3"/>
    <w:rsid w:val="00D82695"/>
    <w:rsid w:val="00D82828"/>
    <w:rsid w:val="00D82BE4"/>
    <w:rsid w:val="00D8333C"/>
    <w:rsid w:val="00D84468"/>
    <w:rsid w:val="00D8468F"/>
    <w:rsid w:val="00D84B96"/>
    <w:rsid w:val="00D85101"/>
    <w:rsid w:val="00D85B72"/>
    <w:rsid w:val="00D86445"/>
    <w:rsid w:val="00D86519"/>
    <w:rsid w:val="00D86A52"/>
    <w:rsid w:val="00D86A70"/>
    <w:rsid w:val="00D878CB"/>
    <w:rsid w:val="00D87F26"/>
    <w:rsid w:val="00D9004F"/>
    <w:rsid w:val="00D905E0"/>
    <w:rsid w:val="00D91BC3"/>
    <w:rsid w:val="00D923E9"/>
    <w:rsid w:val="00D9327B"/>
    <w:rsid w:val="00D94D86"/>
    <w:rsid w:val="00D95693"/>
    <w:rsid w:val="00D96E24"/>
    <w:rsid w:val="00D97C06"/>
    <w:rsid w:val="00DA1771"/>
    <w:rsid w:val="00DA248E"/>
    <w:rsid w:val="00DA2D19"/>
    <w:rsid w:val="00DA32B4"/>
    <w:rsid w:val="00DA38BF"/>
    <w:rsid w:val="00DA48CE"/>
    <w:rsid w:val="00DA5C34"/>
    <w:rsid w:val="00DB01EC"/>
    <w:rsid w:val="00DB033A"/>
    <w:rsid w:val="00DB2944"/>
    <w:rsid w:val="00DB2CC7"/>
    <w:rsid w:val="00DB38A5"/>
    <w:rsid w:val="00DB42CE"/>
    <w:rsid w:val="00DB61A5"/>
    <w:rsid w:val="00DB7DDB"/>
    <w:rsid w:val="00DC1AFB"/>
    <w:rsid w:val="00DC235A"/>
    <w:rsid w:val="00DC2C28"/>
    <w:rsid w:val="00DC3476"/>
    <w:rsid w:val="00DC423C"/>
    <w:rsid w:val="00DC493F"/>
    <w:rsid w:val="00DC5C08"/>
    <w:rsid w:val="00DD0923"/>
    <w:rsid w:val="00DD0B71"/>
    <w:rsid w:val="00DD0B97"/>
    <w:rsid w:val="00DD20E4"/>
    <w:rsid w:val="00DD51E7"/>
    <w:rsid w:val="00DD6D69"/>
    <w:rsid w:val="00DE0D29"/>
    <w:rsid w:val="00DE0F90"/>
    <w:rsid w:val="00DE1455"/>
    <w:rsid w:val="00DE182E"/>
    <w:rsid w:val="00DE1AED"/>
    <w:rsid w:val="00DE1B03"/>
    <w:rsid w:val="00DE1CC9"/>
    <w:rsid w:val="00DE1EB5"/>
    <w:rsid w:val="00DE2482"/>
    <w:rsid w:val="00DE2D37"/>
    <w:rsid w:val="00DE3017"/>
    <w:rsid w:val="00DE3A39"/>
    <w:rsid w:val="00DE3B51"/>
    <w:rsid w:val="00DE4426"/>
    <w:rsid w:val="00DE522A"/>
    <w:rsid w:val="00DE586C"/>
    <w:rsid w:val="00DE604F"/>
    <w:rsid w:val="00DE60C3"/>
    <w:rsid w:val="00DE64B2"/>
    <w:rsid w:val="00DE7355"/>
    <w:rsid w:val="00DE7D0C"/>
    <w:rsid w:val="00DF04F7"/>
    <w:rsid w:val="00DF0DF3"/>
    <w:rsid w:val="00DF20D1"/>
    <w:rsid w:val="00DF32A9"/>
    <w:rsid w:val="00DF379D"/>
    <w:rsid w:val="00DF3ABA"/>
    <w:rsid w:val="00DF3E85"/>
    <w:rsid w:val="00DF53AC"/>
    <w:rsid w:val="00DF58DD"/>
    <w:rsid w:val="00DF5A86"/>
    <w:rsid w:val="00DF6990"/>
    <w:rsid w:val="00DF6DB9"/>
    <w:rsid w:val="00DF7649"/>
    <w:rsid w:val="00DF7A39"/>
    <w:rsid w:val="00DF7B01"/>
    <w:rsid w:val="00E016A2"/>
    <w:rsid w:val="00E01821"/>
    <w:rsid w:val="00E0206C"/>
    <w:rsid w:val="00E03538"/>
    <w:rsid w:val="00E03C20"/>
    <w:rsid w:val="00E0409F"/>
    <w:rsid w:val="00E04821"/>
    <w:rsid w:val="00E052C6"/>
    <w:rsid w:val="00E068F8"/>
    <w:rsid w:val="00E1045E"/>
    <w:rsid w:val="00E10A87"/>
    <w:rsid w:val="00E1344C"/>
    <w:rsid w:val="00E153DB"/>
    <w:rsid w:val="00E1595A"/>
    <w:rsid w:val="00E16C9F"/>
    <w:rsid w:val="00E176E7"/>
    <w:rsid w:val="00E17E52"/>
    <w:rsid w:val="00E202B1"/>
    <w:rsid w:val="00E20CD8"/>
    <w:rsid w:val="00E227A1"/>
    <w:rsid w:val="00E22856"/>
    <w:rsid w:val="00E234C7"/>
    <w:rsid w:val="00E24137"/>
    <w:rsid w:val="00E24E43"/>
    <w:rsid w:val="00E2603D"/>
    <w:rsid w:val="00E30095"/>
    <w:rsid w:val="00E30607"/>
    <w:rsid w:val="00E319F5"/>
    <w:rsid w:val="00E31D0D"/>
    <w:rsid w:val="00E32E4A"/>
    <w:rsid w:val="00E335A2"/>
    <w:rsid w:val="00E3420D"/>
    <w:rsid w:val="00E34F87"/>
    <w:rsid w:val="00E364AC"/>
    <w:rsid w:val="00E36559"/>
    <w:rsid w:val="00E36E71"/>
    <w:rsid w:val="00E40713"/>
    <w:rsid w:val="00E40D66"/>
    <w:rsid w:val="00E40E0D"/>
    <w:rsid w:val="00E41CDC"/>
    <w:rsid w:val="00E43085"/>
    <w:rsid w:val="00E441A8"/>
    <w:rsid w:val="00E44ED7"/>
    <w:rsid w:val="00E45650"/>
    <w:rsid w:val="00E464D4"/>
    <w:rsid w:val="00E46E7D"/>
    <w:rsid w:val="00E47748"/>
    <w:rsid w:val="00E4788C"/>
    <w:rsid w:val="00E51573"/>
    <w:rsid w:val="00E5168C"/>
    <w:rsid w:val="00E51F94"/>
    <w:rsid w:val="00E5248C"/>
    <w:rsid w:val="00E524FC"/>
    <w:rsid w:val="00E53044"/>
    <w:rsid w:val="00E53091"/>
    <w:rsid w:val="00E536FF"/>
    <w:rsid w:val="00E5591F"/>
    <w:rsid w:val="00E56D4B"/>
    <w:rsid w:val="00E611A7"/>
    <w:rsid w:val="00E61562"/>
    <w:rsid w:val="00E62134"/>
    <w:rsid w:val="00E62451"/>
    <w:rsid w:val="00E631B4"/>
    <w:rsid w:val="00E63D63"/>
    <w:rsid w:val="00E65541"/>
    <w:rsid w:val="00E665C9"/>
    <w:rsid w:val="00E66F02"/>
    <w:rsid w:val="00E677C7"/>
    <w:rsid w:val="00E71E2E"/>
    <w:rsid w:val="00E74AE9"/>
    <w:rsid w:val="00E75BB8"/>
    <w:rsid w:val="00E761A1"/>
    <w:rsid w:val="00E77839"/>
    <w:rsid w:val="00E77D62"/>
    <w:rsid w:val="00E80DEB"/>
    <w:rsid w:val="00E818E9"/>
    <w:rsid w:val="00E8206D"/>
    <w:rsid w:val="00E82218"/>
    <w:rsid w:val="00E830AC"/>
    <w:rsid w:val="00E84813"/>
    <w:rsid w:val="00E849C2"/>
    <w:rsid w:val="00E84E7B"/>
    <w:rsid w:val="00E860EA"/>
    <w:rsid w:val="00E86315"/>
    <w:rsid w:val="00E86340"/>
    <w:rsid w:val="00E90379"/>
    <w:rsid w:val="00E909E2"/>
    <w:rsid w:val="00E9143E"/>
    <w:rsid w:val="00E91440"/>
    <w:rsid w:val="00E91D94"/>
    <w:rsid w:val="00E92E3E"/>
    <w:rsid w:val="00E93854"/>
    <w:rsid w:val="00E940DF"/>
    <w:rsid w:val="00E94154"/>
    <w:rsid w:val="00E947DE"/>
    <w:rsid w:val="00E97ACF"/>
    <w:rsid w:val="00EA2EE1"/>
    <w:rsid w:val="00EA339B"/>
    <w:rsid w:val="00EA3F3F"/>
    <w:rsid w:val="00EA3F88"/>
    <w:rsid w:val="00EA630C"/>
    <w:rsid w:val="00EA6568"/>
    <w:rsid w:val="00EA77B0"/>
    <w:rsid w:val="00EB0C28"/>
    <w:rsid w:val="00EB2785"/>
    <w:rsid w:val="00EB5ECF"/>
    <w:rsid w:val="00EB60CD"/>
    <w:rsid w:val="00EB6A20"/>
    <w:rsid w:val="00EB7F64"/>
    <w:rsid w:val="00EC030F"/>
    <w:rsid w:val="00EC1B93"/>
    <w:rsid w:val="00EC2827"/>
    <w:rsid w:val="00EC2C14"/>
    <w:rsid w:val="00EC2C30"/>
    <w:rsid w:val="00EC3422"/>
    <w:rsid w:val="00EC3FCB"/>
    <w:rsid w:val="00EC45E9"/>
    <w:rsid w:val="00EC4CF2"/>
    <w:rsid w:val="00EC4D93"/>
    <w:rsid w:val="00EC4E6F"/>
    <w:rsid w:val="00EC6544"/>
    <w:rsid w:val="00EC6F1E"/>
    <w:rsid w:val="00ED009A"/>
    <w:rsid w:val="00ED09F6"/>
    <w:rsid w:val="00ED1434"/>
    <w:rsid w:val="00ED1F3E"/>
    <w:rsid w:val="00ED6277"/>
    <w:rsid w:val="00ED6D08"/>
    <w:rsid w:val="00ED6FE2"/>
    <w:rsid w:val="00ED7412"/>
    <w:rsid w:val="00ED7455"/>
    <w:rsid w:val="00ED76D2"/>
    <w:rsid w:val="00EE00B8"/>
    <w:rsid w:val="00EE2696"/>
    <w:rsid w:val="00EE5727"/>
    <w:rsid w:val="00EE5B34"/>
    <w:rsid w:val="00EE6CA0"/>
    <w:rsid w:val="00EE76BD"/>
    <w:rsid w:val="00EE771E"/>
    <w:rsid w:val="00EF2098"/>
    <w:rsid w:val="00EF31F8"/>
    <w:rsid w:val="00EF662C"/>
    <w:rsid w:val="00EF6BC2"/>
    <w:rsid w:val="00EF77D5"/>
    <w:rsid w:val="00EF77D7"/>
    <w:rsid w:val="00EF7B4B"/>
    <w:rsid w:val="00F02AF4"/>
    <w:rsid w:val="00F033FF"/>
    <w:rsid w:val="00F054BF"/>
    <w:rsid w:val="00F05E14"/>
    <w:rsid w:val="00F063BE"/>
    <w:rsid w:val="00F06923"/>
    <w:rsid w:val="00F06CBE"/>
    <w:rsid w:val="00F06DE0"/>
    <w:rsid w:val="00F0756A"/>
    <w:rsid w:val="00F101E3"/>
    <w:rsid w:val="00F10F54"/>
    <w:rsid w:val="00F124B4"/>
    <w:rsid w:val="00F13DB0"/>
    <w:rsid w:val="00F1460A"/>
    <w:rsid w:val="00F148E9"/>
    <w:rsid w:val="00F1522F"/>
    <w:rsid w:val="00F1797F"/>
    <w:rsid w:val="00F20010"/>
    <w:rsid w:val="00F20681"/>
    <w:rsid w:val="00F21015"/>
    <w:rsid w:val="00F21A85"/>
    <w:rsid w:val="00F229D3"/>
    <w:rsid w:val="00F231BC"/>
    <w:rsid w:val="00F232E7"/>
    <w:rsid w:val="00F2347A"/>
    <w:rsid w:val="00F23C45"/>
    <w:rsid w:val="00F2424E"/>
    <w:rsid w:val="00F25D8A"/>
    <w:rsid w:val="00F26F4A"/>
    <w:rsid w:val="00F273FF"/>
    <w:rsid w:val="00F27448"/>
    <w:rsid w:val="00F30358"/>
    <w:rsid w:val="00F30F33"/>
    <w:rsid w:val="00F31806"/>
    <w:rsid w:val="00F32DD2"/>
    <w:rsid w:val="00F33C09"/>
    <w:rsid w:val="00F350C0"/>
    <w:rsid w:val="00F356A6"/>
    <w:rsid w:val="00F35FA2"/>
    <w:rsid w:val="00F360A2"/>
    <w:rsid w:val="00F36D5B"/>
    <w:rsid w:val="00F37CE3"/>
    <w:rsid w:val="00F37DEF"/>
    <w:rsid w:val="00F413E1"/>
    <w:rsid w:val="00F41CCE"/>
    <w:rsid w:val="00F420BF"/>
    <w:rsid w:val="00F43BE7"/>
    <w:rsid w:val="00F45CD9"/>
    <w:rsid w:val="00F46A1B"/>
    <w:rsid w:val="00F4754B"/>
    <w:rsid w:val="00F477BE"/>
    <w:rsid w:val="00F50951"/>
    <w:rsid w:val="00F50AD6"/>
    <w:rsid w:val="00F522ED"/>
    <w:rsid w:val="00F56B61"/>
    <w:rsid w:val="00F573EA"/>
    <w:rsid w:val="00F57807"/>
    <w:rsid w:val="00F60270"/>
    <w:rsid w:val="00F624B0"/>
    <w:rsid w:val="00F62568"/>
    <w:rsid w:val="00F62C28"/>
    <w:rsid w:val="00F62ED1"/>
    <w:rsid w:val="00F64257"/>
    <w:rsid w:val="00F64530"/>
    <w:rsid w:val="00F662DC"/>
    <w:rsid w:val="00F671B2"/>
    <w:rsid w:val="00F67941"/>
    <w:rsid w:val="00F67A47"/>
    <w:rsid w:val="00F67B96"/>
    <w:rsid w:val="00F70A83"/>
    <w:rsid w:val="00F70E9A"/>
    <w:rsid w:val="00F71081"/>
    <w:rsid w:val="00F71479"/>
    <w:rsid w:val="00F71FE6"/>
    <w:rsid w:val="00F7244B"/>
    <w:rsid w:val="00F75CB4"/>
    <w:rsid w:val="00F760F4"/>
    <w:rsid w:val="00F76339"/>
    <w:rsid w:val="00F77BCC"/>
    <w:rsid w:val="00F77F20"/>
    <w:rsid w:val="00F8199C"/>
    <w:rsid w:val="00F8212C"/>
    <w:rsid w:val="00F82681"/>
    <w:rsid w:val="00F82A48"/>
    <w:rsid w:val="00F82D6D"/>
    <w:rsid w:val="00F83EAF"/>
    <w:rsid w:val="00F86377"/>
    <w:rsid w:val="00F86A1F"/>
    <w:rsid w:val="00F86BA8"/>
    <w:rsid w:val="00F873CC"/>
    <w:rsid w:val="00F878FF"/>
    <w:rsid w:val="00F90BC8"/>
    <w:rsid w:val="00F91CE8"/>
    <w:rsid w:val="00F922EC"/>
    <w:rsid w:val="00F93012"/>
    <w:rsid w:val="00F95821"/>
    <w:rsid w:val="00F966CA"/>
    <w:rsid w:val="00F96ECE"/>
    <w:rsid w:val="00FA0C1C"/>
    <w:rsid w:val="00FA1055"/>
    <w:rsid w:val="00FA1A9C"/>
    <w:rsid w:val="00FA1C7B"/>
    <w:rsid w:val="00FA2451"/>
    <w:rsid w:val="00FA2520"/>
    <w:rsid w:val="00FA475C"/>
    <w:rsid w:val="00FA578F"/>
    <w:rsid w:val="00FA71DB"/>
    <w:rsid w:val="00FB04A6"/>
    <w:rsid w:val="00FB0537"/>
    <w:rsid w:val="00FB0896"/>
    <w:rsid w:val="00FB26DB"/>
    <w:rsid w:val="00FB2738"/>
    <w:rsid w:val="00FB3007"/>
    <w:rsid w:val="00FB31D6"/>
    <w:rsid w:val="00FB436C"/>
    <w:rsid w:val="00FB43CF"/>
    <w:rsid w:val="00FB45D7"/>
    <w:rsid w:val="00FB5801"/>
    <w:rsid w:val="00FC0528"/>
    <w:rsid w:val="00FC0600"/>
    <w:rsid w:val="00FC11C1"/>
    <w:rsid w:val="00FC2664"/>
    <w:rsid w:val="00FC2E96"/>
    <w:rsid w:val="00FC35B5"/>
    <w:rsid w:val="00FC43EA"/>
    <w:rsid w:val="00FC5086"/>
    <w:rsid w:val="00FC5FB0"/>
    <w:rsid w:val="00FC6D06"/>
    <w:rsid w:val="00FC7AB0"/>
    <w:rsid w:val="00FD0E5B"/>
    <w:rsid w:val="00FD16FC"/>
    <w:rsid w:val="00FD1C7A"/>
    <w:rsid w:val="00FD2C06"/>
    <w:rsid w:val="00FD350F"/>
    <w:rsid w:val="00FD430C"/>
    <w:rsid w:val="00FD4F10"/>
    <w:rsid w:val="00FD551E"/>
    <w:rsid w:val="00FD5C02"/>
    <w:rsid w:val="00FD6667"/>
    <w:rsid w:val="00FD7AB0"/>
    <w:rsid w:val="00FE002E"/>
    <w:rsid w:val="00FE04FF"/>
    <w:rsid w:val="00FE0FF1"/>
    <w:rsid w:val="00FE2C90"/>
    <w:rsid w:val="00FE3696"/>
    <w:rsid w:val="00FE3A1B"/>
    <w:rsid w:val="00FE476F"/>
    <w:rsid w:val="00FE4F22"/>
    <w:rsid w:val="00FE5A45"/>
    <w:rsid w:val="00FE69A6"/>
    <w:rsid w:val="00FE78CD"/>
    <w:rsid w:val="00FF01D7"/>
    <w:rsid w:val="00FF0397"/>
    <w:rsid w:val="00FF096F"/>
    <w:rsid w:val="00FF0D9E"/>
    <w:rsid w:val="00FF2091"/>
    <w:rsid w:val="00FF27C2"/>
    <w:rsid w:val="00FF306D"/>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v:textbox inset="0,0,0,0"/>
    </o:shapedefaults>
    <o:shapelayout v:ext="edit">
      <o:idmap v:ext="edit" data="2"/>
    </o:shapelayout>
  </w:shapeDefaults>
  <w:decimalSymbol w:val=","/>
  <w:listSeparator w:val=";"/>
  <w14:docId w14:val="36CC0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v-LV"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55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lv-LV"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lv-LV"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lv-LV" w:eastAsia="en-US"/>
    </w:rPr>
  </w:style>
  <w:style w:type="paragraph" w:customStyle="1" w:styleId="numberedparagraph">
    <w:name w:val="numbered paragraph"/>
    <w:basedOn w:val="Normal"/>
    <w:qFormat/>
    <w:rsid w:val="00C46DA4"/>
    <w:pPr>
      <w:numPr>
        <w:numId w:val="41"/>
      </w:numPr>
      <w:spacing w:before="240" w:after="120" w:line="276" w:lineRule="auto"/>
      <w:jc w:val="both"/>
    </w:pPr>
    <w:rPr>
      <w:rFonts w:asciiTheme="minorHAnsi" w:eastAsiaTheme="minorEastAsia" w:hAnsiTheme="minorHAnsi" w:cstheme="minorBidi"/>
      <w:color w:val="auto"/>
      <w:sz w:val="22"/>
      <w:szCs w:val="24"/>
    </w:rPr>
  </w:style>
  <w:style w:type="character" w:customStyle="1" w:styleId="ui-provider">
    <w:name w:val="ui-provider"/>
    <w:basedOn w:val="DefaultParagraphFont"/>
    <w:rsid w:val="00B145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84916">
      <w:bodyDiv w:val="1"/>
      <w:marLeft w:val="0"/>
      <w:marRight w:val="0"/>
      <w:marTop w:val="0"/>
      <w:marBottom w:val="0"/>
      <w:divBdr>
        <w:top w:val="none" w:sz="0" w:space="0" w:color="auto"/>
        <w:left w:val="none" w:sz="0" w:space="0" w:color="auto"/>
        <w:bottom w:val="none" w:sz="0" w:space="0" w:color="auto"/>
        <w:right w:val="none" w:sz="0" w:space="0" w:color="auto"/>
      </w:divBdr>
    </w:div>
    <w:div w:id="99492908">
      <w:bodyDiv w:val="1"/>
      <w:marLeft w:val="0"/>
      <w:marRight w:val="0"/>
      <w:marTop w:val="0"/>
      <w:marBottom w:val="0"/>
      <w:divBdr>
        <w:top w:val="none" w:sz="0" w:space="0" w:color="auto"/>
        <w:left w:val="none" w:sz="0" w:space="0" w:color="auto"/>
        <w:bottom w:val="none" w:sz="0" w:space="0" w:color="auto"/>
        <w:right w:val="none" w:sz="0" w:space="0" w:color="auto"/>
      </w:divBdr>
    </w:div>
    <w:div w:id="164593368">
      <w:bodyDiv w:val="1"/>
      <w:marLeft w:val="0"/>
      <w:marRight w:val="0"/>
      <w:marTop w:val="0"/>
      <w:marBottom w:val="0"/>
      <w:divBdr>
        <w:top w:val="none" w:sz="0" w:space="0" w:color="auto"/>
        <w:left w:val="none" w:sz="0" w:space="0" w:color="auto"/>
        <w:bottom w:val="none" w:sz="0" w:space="0" w:color="auto"/>
        <w:right w:val="none" w:sz="0" w:space="0" w:color="auto"/>
      </w:divBdr>
    </w:div>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208498785">
      <w:bodyDiv w:val="1"/>
      <w:marLeft w:val="0"/>
      <w:marRight w:val="0"/>
      <w:marTop w:val="0"/>
      <w:marBottom w:val="0"/>
      <w:divBdr>
        <w:top w:val="none" w:sz="0" w:space="0" w:color="auto"/>
        <w:left w:val="none" w:sz="0" w:space="0" w:color="auto"/>
        <w:bottom w:val="none" w:sz="0" w:space="0" w:color="auto"/>
        <w:right w:val="none" w:sz="0" w:space="0" w:color="auto"/>
      </w:divBdr>
    </w:div>
    <w:div w:id="388185919">
      <w:bodyDiv w:val="1"/>
      <w:marLeft w:val="0"/>
      <w:marRight w:val="0"/>
      <w:marTop w:val="0"/>
      <w:marBottom w:val="0"/>
      <w:divBdr>
        <w:top w:val="none" w:sz="0" w:space="0" w:color="auto"/>
        <w:left w:val="none" w:sz="0" w:space="0" w:color="auto"/>
        <w:bottom w:val="none" w:sz="0" w:space="0" w:color="auto"/>
        <w:right w:val="none" w:sz="0" w:space="0" w:color="auto"/>
      </w:divBdr>
    </w:div>
    <w:div w:id="478503391">
      <w:bodyDiv w:val="1"/>
      <w:marLeft w:val="0"/>
      <w:marRight w:val="0"/>
      <w:marTop w:val="0"/>
      <w:marBottom w:val="0"/>
      <w:divBdr>
        <w:top w:val="none" w:sz="0" w:space="0" w:color="auto"/>
        <w:left w:val="none" w:sz="0" w:space="0" w:color="auto"/>
        <w:bottom w:val="none" w:sz="0" w:space="0" w:color="auto"/>
        <w:right w:val="none" w:sz="0" w:space="0" w:color="auto"/>
      </w:divBdr>
    </w:div>
    <w:div w:id="566771816">
      <w:bodyDiv w:val="1"/>
      <w:marLeft w:val="0"/>
      <w:marRight w:val="0"/>
      <w:marTop w:val="0"/>
      <w:marBottom w:val="0"/>
      <w:divBdr>
        <w:top w:val="none" w:sz="0" w:space="0" w:color="auto"/>
        <w:left w:val="none" w:sz="0" w:space="0" w:color="auto"/>
        <w:bottom w:val="none" w:sz="0" w:space="0" w:color="auto"/>
        <w:right w:val="none" w:sz="0" w:space="0" w:color="auto"/>
      </w:divBdr>
    </w:div>
    <w:div w:id="571044302">
      <w:bodyDiv w:val="1"/>
      <w:marLeft w:val="0"/>
      <w:marRight w:val="0"/>
      <w:marTop w:val="0"/>
      <w:marBottom w:val="0"/>
      <w:divBdr>
        <w:top w:val="none" w:sz="0" w:space="0" w:color="auto"/>
        <w:left w:val="none" w:sz="0" w:space="0" w:color="auto"/>
        <w:bottom w:val="none" w:sz="0" w:space="0" w:color="auto"/>
        <w:right w:val="none" w:sz="0" w:space="0" w:color="auto"/>
      </w:divBdr>
    </w:div>
    <w:div w:id="739250351">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896547248">
      <w:bodyDiv w:val="1"/>
      <w:marLeft w:val="0"/>
      <w:marRight w:val="0"/>
      <w:marTop w:val="0"/>
      <w:marBottom w:val="0"/>
      <w:divBdr>
        <w:top w:val="none" w:sz="0" w:space="0" w:color="auto"/>
        <w:left w:val="none" w:sz="0" w:space="0" w:color="auto"/>
        <w:bottom w:val="none" w:sz="0" w:space="0" w:color="auto"/>
        <w:right w:val="none" w:sz="0" w:space="0" w:color="auto"/>
      </w:divBdr>
    </w:div>
    <w:div w:id="954216756">
      <w:bodyDiv w:val="1"/>
      <w:marLeft w:val="0"/>
      <w:marRight w:val="0"/>
      <w:marTop w:val="0"/>
      <w:marBottom w:val="0"/>
      <w:divBdr>
        <w:top w:val="none" w:sz="0" w:space="0" w:color="auto"/>
        <w:left w:val="none" w:sz="0" w:space="0" w:color="auto"/>
        <w:bottom w:val="none" w:sz="0" w:space="0" w:color="auto"/>
        <w:right w:val="none" w:sz="0" w:space="0" w:color="auto"/>
      </w:divBdr>
    </w:div>
    <w:div w:id="1014841392">
      <w:bodyDiv w:val="1"/>
      <w:marLeft w:val="0"/>
      <w:marRight w:val="0"/>
      <w:marTop w:val="0"/>
      <w:marBottom w:val="0"/>
      <w:divBdr>
        <w:top w:val="none" w:sz="0" w:space="0" w:color="auto"/>
        <w:left w:val="none" w:sz="0" w:space="0" w:color="auto"/>
        <w:bottom w:val="none" w:sz="0" w:space="0" w:color="auto"/>
        <w:right w:val="none" w:sz="0" w:space="0" w:color="auto"/>
      </w:divBdr>
    </w:div>
    <w:div w:id="1024090179">
      <w:bodyDiv w:val="1"/>
      <w:marLeft w:val="0"/>
      <w:marRight w:val="0"/>
      <w:marTop w:val="0"/>
      <w:marBottom w:val="0"/>
      <w:divBdr>
        <w:top w:val="none" w:sz="0" w:space="0" w:color="auto"/>
        <w:left w:val="none" w:sz="0" w:space="0" w:color="auto"/>
        <w:bottom w:val="none" w:sz="0" w:space="0" w:color="auto"/>
        <w:right w:val="none" w:sz="0" w:space="0" w:color="auto"/>
      </w:divBdr>
    </w:div>
    <w:div w:id="1052847062">
      <w:bodyDiv w:val="1"/>
      <w:marLeft w:val="0"/>
      <w:marRight w:val="0"/>
      <w:marTop w:val="0"/>
      <w:marBottom w:val="0"/>
      <w:divBdr>
        <w:top w:val="none" w:sz="0" w:space="0" w:color="auto"/>
        <w:left w:val="none" w:sz="0" w:space="0" w:color="auto"/>
        <w:bottom w:val="none" w:sz="0" w:space="0" w:color="auto"/>
        <w:right w:val="none" w:sz="0" w:space="0" w:color="auto"/>
      </w:divBdr>
    </w:div>
    <w:div w:id="1061976439">
      <w:bodyDiv w:val="1"/>
      <w:marLeft w:val="0"/>
      <w:marRight w:val="0"/>
      <w:marTop w:val="0"/>
      <w:marBottom w:val="0"/>
      <w:divBdr>
        <w:top w:val="none" w:sz="0" w:space="0" w:color="auto"/>
        <w:left w:val="none" w:sz="0" w:space="0" w:color="auto"/>
        <w:bottom w:val="none" w:sz="0" w:space="0" w:color="auto"/>
        <w:right w:val="none" w:sz="0" w:space="0" w:color="auto"/>
      </w:divBdr>
    </w:div>
    <w:div w:id="1148327259">
      <w:bodyDiv w:val="1"/>
      <w:marLeft w:val="0"/>
      <w:marRight w:val="0"/>
      <w:marTop w:val="0"/>
      <w:marBottom w:val="0"/>
      <w:divBdr>
        <w:top w:val="none" w:sz="0" w:space="0" w:color="auto"/>
        <w:left w:val="none" w:sz="0" w:space="0" w:color="auto"/>
        <w:bottom w:val="none" w:sz="0" w:space="0" w:color="auto"/>
        <w:right w:val="none" w:sz="0" w:space="0" w:color="auto"/>
      </w:divBdr>
    </w:div>
    <w:div w:id="1253708875">
      <w:bodyDiv w:val="1"/>
      <w:marLeft w:val="0"/>
      <w:marRight w:val="0"/>
      <w:marTop w:val="0"/>
      <w:marBottom w:val="0"/>
      <w:divBdr>
        <w:top w:val="none" w:sz="0" w:space="0" w:color="auto"/>
        <w:left w:val="none" w:sz="0" w:space="0" w:color="auto"/>
        <w:bottom w:val="none" w:sz="0" w:space="0" w:color="auto"/>
        <w:right w:val="none" w:sz="0" w:space="0" w:color="auto"/>
      </w:divBdr>
    </w:div>
    <w:div w:id="1350134346">
      <w:bodyDiv w:val="1"/>
      <w:marLeft w:val="0"/>
      <w:marRight w:val="0"/>
      <w:marTop w:val="0"/>
      <w:marBottom w:val="0"/>
      <w:divBdr>
        <w:top w:val="none" w:sz="0" w:space="0" w:color="auto"/>
        <w:left w:val="none" w:sz="0" w:space="0" w:color="auto"/>
        <w:bottom w:val="none" w:sz="0" w:space="0" w:color="auto"/>
        <w:right w:val="none" w:sz="0" w:space="0" w:color="auto"/>
      </w:divBdr>
      <w:divsChild>
        <w:div w:id="330834301">
          <w:marLeft w:val="0"/>
          <w:marRight w:val="0"/>
          <w:marTop w:val="0"/>
          <w:marBottom w:val="0"/>
          <w:divBdr>
            <w:top w:val="none" w:sz="0" w:space="0" w:color="auto"/>
            <w:left w:val="none" w:sz="0" w:space="0" w:color="auto"/>
            <w:bottom w:val="none" w:sz="0" w:space="0" w:color="auto"/>
            <w:right w:val="none" w:sz="0" w:space="0" w:color="auto"/>
          </w:divBdr>
          <w:divsChild>
            <w:div w:id="195678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700681">
      <w:bodyDiv w:val="1"/>
      <w:marLeft w:val="0"/>
      <w:marRight w:val="0"/>
      <w:marTop w:val="0"/>
      <w:marBottom w:val="0"/>
      <w:divBdr>
        <w:top w:val="none" w:sz="0" w:space="0" w:color="auto"/>
        <w:left w:val="none" w:sz="0" w:space="0" w:color="auto"/>
        <w:bottom w:val="none" w:sz="0" w:space="0" w:color="auto"/>
        <w:right w:val="none" w:sz="0" w:space="0" w:color="auto"/>
      </w:divBdr>
    </w:div>
    <w:div w:id="1453017598">
      <w:bodyDiv w:val="1"/>
      <w:marLeft w:val="0"/>
      <w:marRight w:val="0"/>
      <w:marTop w:val="0"/>
      <w:marBottom w:val="0"/>
      <w:divBdr>
        <w:top w:val="none" w:sz="0" w:space="0" w:color="auto"/>
        <w:left w:val="none" w:sz="0" w:space="0" w:color="auto"/>
        <w:bottom w:val="none" w:sz="0" w:space="0" w:color="auto"/>
        <w:right w:val="none" w:sz="0" w:space="0" w:color="auto"/>
      </w:divBdr>
    </w:div>
    <w:div w:id="1573614251">
      <w:bodyDiv w:val="1"/>
      <w:marLeft w:val="0"/>
      <w:marRight w:val="0"/>
      <w:marTop w:val="0"/>
      <w:marBottom w:val="0"/>
      <w:divBdr>
        <w:top w:val="none" w:sz="0" w:space="0" w:color="auto"/>
        <w:left w:val="none" w:sz="0" w:space="0" w:color="auto"/>
        <w:bottom w:val="none" w:sz="0" w:space="0" w:color="auto"/>
        <w:right w:val="none" w:sz="0" w:space="0" w:color="auto"/>
      </w:divBdr>
    </w:div>
    <w:div w:id="1648778215">
      <w:bodyDiv w:val="1"/>
      <w:marLeft w:val="0"/>
      <w:marRight w:val="0"/>
      <w:marTop w:val="0"/>
      <w:marBottom w:val="0"/>
      <w:divBdr>
        <w:top w:val="none" w:sz="0" w:space="0" w:color="auto"/>
        <w:left w:val="none" w:sz="0" w:space="0" w:color="auto"/>
        <w:bottom w:val="none" w:sz="0" w:space="0" w:color="auto"/>
        <w:right w:val="none" w:sz="0" w:space="0" w:color="auto"/>
      </w:divBdr>
    </w:div>
    <w:div w:id="1776175696">
      <w:bodyDiv w:val="1"/>
      <w:marLeft w:val="0"/>
      <w:marRight w:val="0"/>
      <w:marTop w:val="0"/>
      <w:marBottom w:val="0"/>
      <w:divBdr>
        <w:top w:val="none" w:sz="0" w:space="0" w:color="auto"/>
        <w:left w:val="none" w:sz="0" w:space="0" w:color="auto"/>
        <w:bottom w:val="none" w:sz="0" w:space="0" w:color="auto"/>
        <w:right w:val="none" w:sz="0" w:space="0" w:color="auto"/>
      </w:divBdr>
    </w:div>
    <w:div w:id="2067602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footer" Target="footer4.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E38025-4FD0-4278-87FD-11F2FDCC0683}">
  <ds:schemaRefs>
    <ds:schemaRef ds:uri="http://schemas.openxmlformats.org/officeDocument/2006/bibliography"/>
  </ds:schemaRefs>
</ds:datastoreItem>
</file>

<file path=customXml/itemProps2.xml><?xml version="1.0" encoding="utf-8"?>
<ds:datastoreItem xmlns:ds="http://schemas.openxmlformats.org/officeDocument/2006/customXml" ds:itemID="{68121338-5B27-4588-8ADC-122A90401779}">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5E08750D-20FD-479F-A75B-241E813E63F3}">
  <ds:schemaRefs>
    <ds:schemaRef ds:uri="http://schemas.microsoft.com/sharepoint/v3/contenttype/forms"/>
  </ds:schemaRefs>
</ds:datastoreItem>
</file>

<file path=customXml/itemProps4.xml><?xml version="1.0" encoding="utf-8"?>
<ds:datastoreItem xmlns:ds="http://schemas.openxmlformats.org/officeDocument/2006/customXml" ds:itemID="{B5B95DAC-34AB-4514-B6E0-5936747569DC}"/>
</file>

<file path=customXml/itemProps5.xml><?xml version="1.0" encoding="utf-8"?>
<ds:datastoreItem xmlns:ds="http://schemas.openxmlformats.org/officeDocument/2006/customXml" ds:itemID="{1CE63309-9C33-43A3-B40C-F645D01CCBEA}">
  <ds:schemaRefs>
    <ds:schemaRef ds:uri="http://schemas.openxmlformats.org/officeDocument/2006/bibliography"/>
  </ds:schemaRefs>
</ds:datastoreItem>
</file>

<file path=customXml/itemProps6.xml><?xml version="1.0" encoding="utf-8"?>
<ds:datastoreItem xmlns:ds="http://schemas.openxmlformats.org/officeDocument/2006/customXml" ds:itemID="{AEFB1D3A-7F75-429B-AB78-772553DAF9BC}">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71</Pages>
  <Words>19789</Words>
  <Characters>126655</Characters>
  <Application>Microsoft Office Word</Application>
  <DocSecurity>0</DocSecurity>
  <Lines>2878</Lines>
  <Paragraphs>1494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144950</CharactersWithSpaces>
  <SharedDoc>false</SharedDoc>
  <HLinks>
    <vt:vector size="96" baseType="variant">
      <vt:variant>
        <vt:i4>1835061</vt:i4>
      </vt:variant>
      <vt:variant>
        <vt:i4>92</vt:i4>
      </vt:variant>
      <vt:variant>
        <vt:i4>0</vt:i4>
      </vt:variant>
      <vt:variant>
        <vt:i4>5</vt:i4>
      </vt:variant>
      <vt:variant>
        <vt:lpwstr/>
      </vt:variant>
      <vt:variant>
        <vt:lpwstr>_Toc52461758</vt:lpwstr>
      </vt:variant>
      <vt:variant>
        <vt:i4>1245237</vt:i4>
      </vt:variant>
      <vt:variant>
        <vt:i4>86</vt:i4>
      </vt:variant>
      <vt:variant>
        <vt:i4>0</vt:i4>
      </vt:variant>
      <vt:variant>
        <vt:i4>5</vt:i4>
      </vt:variant>
      <vt:variant>
        <vt:lpwstr/>
      </vt:variant>
      <vt:variant>
        <vt:lpwstr>_Toc52461757</vt:lpwstr>
      </vt:variant>
      <vt:variant>
        <vt:i4>1179701</vt:i4>
      </vt:variant>
      <vt:variant>
        <vt:i4>80</vt:i4>
      </vt:variant>
      <vt:variant>
        <vt:i4>0</vt:i4>
      </vt:variant>
      <vt:variant>
        <vt:i4>5</vt:i4>
      </vt:variant>
      <vt:variant>
        <vt:lpwstr/>
      </vt:variant>
      <vt:variant>
        <vt:lpwstr>_Toc52461756</vt:lpwstr>
      </vt:variant>
      <vt:variant>
        <vt:i4>1114165</vt:i4>
      </vt:variant>
      <vt:variant>
        <vt:i4>74</vt:i4>
      </vt:variant>
      <vt:variant>
        <vt:i4>0</vt:i4>
      </vt:variant>
      <vt:variant>
        <vt:i4>5</vt:i4>
      </vt:variant>
      <vt:variant>
        <vt:lpwstr/>
      </vt:variant>
      <vt:variant>
        <vt:lpwstr>_Toc52461755</vt:lpwstr>
      </vt:variant>
      <vt:variant>
        <vt:i4>1048629</vt:i4>
      </vt:variant>
      <vt:variant>
        <vt:i4>68</vt:i4>
      </vt:variant>
      <vt:variant>
        <vt:i4>0</vt:i4>
      </vt:variant>
      <vt:variant>
        <vt:i4>5</vt:i4>
      </vt:variant>
      <vt:variant>
        <vt:lpwstr/>
      </vt:variant>
      <vt:variant>
        <vt:lpwstr>_Toc52461754</vt:lpwstr>
      </vt:variant>
      <vt:variant>
        <vt:i4>1507381</vt:i4>
      </vt:variant>
      <vt:variant>
        <vt:i4>62</vt:i4>
      </vt:variant>
      <vt:variant>
        <vt:i4>0</vt:i4>
      </vt:variant>
      <vt:variant>
        <vt:i4>5</vt:i4>
      </vt:variant>
      <vt:variant>
        <vt:lpwstr/>
      </vt:variant>
      <vt:variant>
        <vt:lpwstr>_Toc52461753</vt:lpwstr>
      </vt:variant>
      <vt:variant>
        <vt:i4>1441845</vt:i4>
      </vt:variant>
      <vt:variant>
        <vt:i4>56</vt:i4>
      </vt:variant>
      <vt:variant>
        <vt:i4>0</vt:i4>
      </vt:variant>
      <vt:variant>
        <vt:i4>5</vt:i4>
      </vt:variant>
      <vt:variant>
        <vt:lpwstr/>
      </vt:variant>
      <vt:variant>
        <vt:lpwstr>_Toc52461752</vt:lpwstr>
      </vt:variant>
      <vt:variant>
        <vt:i4>1376309</vt:i4>
      </vt:variant>
      <vt:variant>
        <vt:i4>50</vt:i4>
      </vt:variant>
      <vt:variant>
        <vt:i4>0</vt:i4>
      </vt:variant>
      <vt:variant>
        <vt:i4>5</vt:i4>
      </vt:variant>
      <vt:variant>
        <vt:lpwstr/>
      </vt:variant>
      <vt:variant>
        <vt:lpwstr>_Toc52461751</vt:lpwstr>
      </vt:variant>
      <vt:variant>
        <vt:i4>1310773</vt:i4>
      </vt:variant>
      <vt:variant>
        <vt:i4>44</vt:i4>
      </vt:variant>
      <vt:variant>
        <vt:i4>0</vt:i4>
      </vt:variant>
      <vt:variant>
        <vt:i4>5</vt:i4>
      </vt:variant>
      <vt:variant>
        <vt:lpwstr/>
      </vt:variant>
      <vt:variant>
        <vt:lpwstr>_Toc52461750</vt:lpwstr>
      </vt:variant>
      <vt:variant>
        <vt:i4>1900596</vt:i4>
      </vt:variant>
      <vt:variant>
        <vt:i4>38</vt:i4>
      </vt:variant>
      <vt:variant>
        <vt:i4>0</vt:i4>
      </vt:variant>
      <vt:variant>
        <vt:i4>5</vt:i4>
      </vt:variant>
      <vt:variant>
        <vt:lpwstr/>
      </vt:variant>
      <vt:variant>
        <vt:lpwstr>_Toc52461749</vt:lpwstr>
      </vt:variant>
      <vt:variant>
        <vt:i4>1835060</vt:i4>
      </vt:variant>
      <vt:variant>
        <vt:i4>32</vt:i4>
      </vt:variant>
      <vt:variant>
        <vt:i4>0</vt:i4>
      </vt:variant>
      <vt:variant>
        <vt:i4>5</vt:i4>
      </vt:variant>
      <vt:variant>
        <vt:lpwstr/>
      </vt:variant>
      <vt:variant>
        <vt:lpwstr>_Toc52461748</vt:lpwstr>
      </vt:variant>
      <vt:variant>
        <vt:i4>1245236</vt:i4>
      </vt:variant>
      <vt:variant>
        <vt:i4>26</vt:i4>
      </vt:variant>
      <vt:variant>
        <vt:i4>0</vt:i4>
      </vt:variant>
      <vt:variant>
        <vt:i4>5</vt:i4>
      </vt:variant>
      <vt:variant>
        <vt:lpwstr/>
      </vt:variant>
      <vt:variant>
        <vt:lpwstr>_Toc52461747</vt:lpwstr>
      </vt:variant>
      <vt:variant>
        <vt:i4>1179700</vt:i4>
      </vt:variant>
      <vt:variant>
        <vt:i4>20</vt:i4>
      </vt:variant>
      <vt:variant>
        <vt:i4>0</vt:i4>
      </vt:variant>
      <vt:variant>
        <vt:i4>5</vt:i4>
      </vt:variant>
      <vt:variant>
        <vt:lpwstr/>
      </vt:variant>
      <vt:variant>
        <vt:lpwstr>_Toc52461746</vt:lpwstr>
      </vt:variant>
      <vt:variant>
        <vt:i4>1114164</vt:i4>
      </vt:variant>
      <vt:variant>
        <vt:i4>14</vt:i4>
      </vt:variant>
      <vt:variant>
        <vt:i4>0</vt:i4>
      </vt:variant>
      <vt:variant>
        <vt:i4>5</vt:i4>
      </vt:variant>
      <vt:variant>
        <vt:lpwstr/>
      </vt:variant>
      <vt:variant>
        <vt:lpwstr>_Toc52461745</vt:lpwstr>
      </vt:variant>
      <vt:variant>
        <vt:i4>1048628</vt:i4>
      </vt:variant>
      <vt:variant>
        <vt:i4>8</vt:i4>
      </vt:variant>
      <vt:variant>
        <vt:i4>0</vt:i4>
      </vt:variant>
      <vt:variant>
        <vt:i4>5</vt:i4>
      </vt:variant>
      <vt:variant>
        <vt:lpwstr/>
      </vt:variant>
      <vt:variant>
        <vt:lpwstr>_Toc52461744</vt:lpwstr>
      </vt:variant>
      <vt:variant>
        <vt:i4>1507380</vt:i4>
      </vt:variant>
      <vt:variant>
        <vt:i4>2</vt:i4>
      </vt:variant>
      <vt:variant>
        <vt:i4>0</vt:i4>
      </vt:variant>
      <vt:variant>
        <vt:i4>5</vt:i4>
      </vt:variant>
      <vt:variant>
        <vt:lpwstr/>
      </vt:variant>
      <vt:variant>
        <vt:lpwstr>_Toc52461743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2025-01-27T15:54:00Z</dcterms:created>
  <dcterms:modified xsi:type="dcterms:W3CDTF">2025-01-27T15:54:00Z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41badce7,1d2f1552,1dc33b2e,10f4dfb6,50263a1b,373719cd</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y fmtid="{D5CDD505-2E9C-101B-9397-08002B2CF9AE}" pid="6" name="MSIP_Label_6bd9ddd1-4d20-43f6-abfa-fc3c07406f94_Enabled">
    <vt:lpwstr>true</vt:lpwstr>
  </property>
  <property fmtid="{D5CDD505-2E9C-101B-9397-08002B2CF9AE}" pid="7" name="MSIP_Label_6bd9ddd1-4d20-43f6-abfa-fc3c07406f94_SetDate">
    <vt:lpwstr>2025-01-27T15:54:50Z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73a11662-37f0-4527-b150-9c34771879bb</vt:lpwstr>
  </property>
  <property fmtid="{D5CDD505-2E9C-101B-9397-08002B2CF9AE}" pid="12" name="MSIP_Label_6bd9ddd1-4d20-43f6-abfa-fc3c07406f94_ContentBits">
    <vt:lpwstr>0</vt:lpwstr>
  </property>
</Properties>
</file>